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F96AE" w14:textId="7AB3E3D3" w:rsidR="00A55E17" w:rsidRPr="002C3FF6" w:rsidRDefault="00A55E17" w:rsidP="00392874">
      <w:pPr>
        <w:jc w:val="center"/>
        <w:rPr>
          <w:b/>
          <w:sz w:val="36"/>
        </w:rPr>
      </w:pPr>
      <w:r w:rsidRPr="002C3FF6">
        <w:rPr>
          <w:b/>
          <w:sz w:val="36"/>
        </w:rPr>
        <w:t xml:space="preserve">Fórum </w:t>
      </w:r>
      <w:r w:rsidR="00247106">
        <w:rPr>
          <w:b/>
          <w:sz w:val="36"/>
        </w:rPr>
        <w:t xml:space="preserve">Permanente </w:t>
      </w:r>
      <w:bookmarkStart w:id="0" w:name="_GoBack"/>
      <w:bookmarkEnd w:id="0"/>
      <w:r w:rsidR="00247106">
        <w:rPr>
          <w:b/>
          <w:sz w:val="36"/>
        </w:rPr>
        <w:t xml:space="preserve">de Gestão e Planejamento Territorial </w:t>
      </w:r>
      <w:r w:rsidR="00247106" w:rsidRPr="002C3FF6">
        <w:rPr>
          <w:b/>
          <w:sz w:val="36"/>
        </w:rPr>
        <w:t>Sustentável</w:t>
      </w:r>
    </w:p>
    <w:p w14:paraId="69264513" w14:textId="69D99A27" w:rsidR="00A55E17" w:rsidRPr="00BA6F49" w:rsidRDefault="00A55E17" w:rsidP="00392874">
      <w:pPr>
        <w:jc w:val="center"/>
        <w:rPr>
          <w:b/>
          <w:sz w:val="36"/>
        </w:rPr>
      </w:pPr>
      <w:r w:rsidRPr="002C3FF6">
        <w:rPr>
          <w:b/>
          <w:sz w:val="36"/>
        </w:rPr>
        <w:t>PROPOSTAS PARA</w:t>
      </w:r>
      <w:r w:rsidR="00247106">
        <w:rPr>
          <w:b/>
          <w:sz w:val="36"/>
        </w:rPr>
        <w:t xml:space="preserve"> REVISÃO D</w:t>
      </w:r>
      <w:r w:rsidRPr="002C3FF6">
        <w:rPr>
          <w:b/>
          <w:sz w:val="36"/>
        </w:rPr>
        <w:t>O PLANO DIRETOR</w:t>
      </w:r>
      <w:r w:rsidR="00247106">
        <w:rPr>
          <w:b/>
          <w:sz w:val="36"/>
        </w:rPr>
        <w:t xml:space="preserve"> DE DESENVOLVIMENTO</w:t>
      </w:r>
      <w:r w:rsidR="00392874">
        <w:rPr>
          <w:b/>
          <w:sz w:val="36"/>
        </w:rPr>
        <w:t xml:space="preserve"> – Grupo Planos</w:t>
      </w:r>
    </w:p>
    <w:p w14:paraId="7C34D293" w14:textId="77777777" w:rsidR="009037D1" w:rsidRPr="002C3FF6" w:rsidRDefault="009037D1" w:rsidP="00392874">
      <w:pPr>
        <w:jc w:val="center"/>
        <w:rPr>
          <w:b/>
          <w:i/>
          <w:sz w:val="28"/>
        </w:rPr>
      </w:pPr>
    </w:p>
    <w:p w14:paraId="117F4818" w14:textId="77777777" w:rsidR="00A02AF4" w:rsidRPr="00A02AF4" w:rsidRDefault="00A02AF4" w:rsidP="00392874">
      <w:pPr>
        <w:jc w:val="both"/>
      </w:pPr>
    </w:p>
    <w:p w14:paraId="5AFD6967" w14:textId="62381D0C" w:rsidR="002C3FF6" w:rsidRDefault="00587547" w:rsidP="00392874">
      <w:pPr>
        <w:pStyle w:val="PargrafodaLista"/>
        <w:numPr>
          <w:ilvl w:val="0"/>
          <w:numId w:val="3"/>
        </w:numPr>
        <w:ind w:left="360"/>
        <w:jc w:val="both"/>
        <w:rPr>
          <w:b/>
        </w:rPr>
      </w:pPr>
      <w:r>
        <w:rPr>
          <w:b/>
        </w:rPr>
        <w:t>Tornar mais</w:t>
      </w:r>
      <w:r w:rsidR="002C3FF6">
        <w:rPr>
          <w:b/>
        </w:rPr>
        <w:t xml:space="preserve"> transpar</w:t>
      </w:r>
      <w:r>
        <w:rPr>
          <w:b/>
        </w:rPr>
        <w:t>entes</w:t>
      </w:r>
      <w:r w:rsidR="00F3377A">
        <w:rPr>
          <w:b/>
        </w:rPr>
        <w:t xml:space="preserve"> </w:t>
      </w:r>
      <w:r>
        <w:rPr>
          <w:b/>
        </w:rPr>
        <w:t>e criteriosas</w:t>
      </w:r>
      <w:r w:rsidR="00247106">
        <w:rPr>
          <w:b/>
        </w:rPr>
        <w:t xml:space="preserve"> as</w:t>
      </w:r>
      <w:r>
        <w:rPr>
          <w:b/>
        </w:rPr>
        <w:t xml:space="preserve"> </w:t>
      </w:r>
      <w:r w:rsidR="002C3FF6">
        <w:rPr>
          <w:b/>
        </w:rPr>
        <w:t>alteraç</w:t>
      </w:r>
      <w:r>
        <w:rPr>
          <w:b/>
        </w:rPr>
        <w:t>ões</w:t>
      </w:r>
      <w:r w:rsidR="002C3FF6">
        <w:rPr>
          <w:b/>
        </w:rPr>
        <w:t xml:space="preserve"> do Plano Diretor</w:t>
      </w:r>
    </w:p>
    <w:p w14:paraId="46C18675" w14:textId="77777777" w:rsidR="00A02AF4" w:rsidRDefault="00A02AF4" w:rsidP="00392874">
      <w:pPr>
        <w:jc w:val="both"/>
      </w:pPr>
    </w:p>
    <w:p w14:paraId="095021E1" w14:textId="22CCB64E" w:rsidR="00F3377A" w:rsidRDefault="00F3377A" w:rsidP="00392874">
      <w:pPr>
        <w:pStyle w:val="PargrafodaLista"/>
        <w:numPr>
          <w:ilvl w:val="0"/>
          <w:numId w:val="5"/>
        </w:numPr>
        <w:ind w:left="360"/>
        <w:jc w:val="both"/>
      </w:pPr>
      <w:r>
        <w:t>Incluir no novo PD a determinação de que PLCs que proponham alterações do conteúdo do Plano Diretor indiquem de maneira clara</w:t>
      </w:r>
      <w:r w:rsidR="00316F0D">
        <w:t xml:space="preserve"> e didática</w:t>
      </w:r>
      <w:r>
        <w:t xml:space="preserve">, já em sua ementa, o </w:t>
      </w:r>
      <w:r w:rsidR="006A331A">
        <w:t>teor</w:t>
      </w:r>
      <w:r>
        <w:t xml:space="preserve"> da alteração.</w:t>
      </w:r>
    </w:p>
    <w:p w14:paraId="62307360" w14:textId="77777777" w:rsidR="00F3377A" w:rsidRDefault="00F3377A" w:rsidP="00392874">
      <w:pPr>
        <w:pStyle w:val="PargrafodaLista"/>
        <w:ind w:left="360"/>
        <w:jc w:val="both"/>
      </w:pPr>
    </w:p>
    <w:p w14:paraId="7B3B1E9E" w14:textId="7388443A" w:rsidR="00AE2B0E" w:rsidRDefault="002C3FF6" w:rsidP="00392874">
      <w:pPr>
        <w:pStyle w:val="PargrafodaLista"/>
        <w:numPr>
          <w:ilvl w:val="0"/>
          <w:numId w:val="5"/>
        </w:numPr>
        <w:ind w:left="360"/>
        <w:jc w:val="both"/>
      </w:pPr>
      <w:r>
        <w:t>Determinar no novo PD que cada tipo de alteração do Plano (</w:t>
      </w:r>
      <w:r w:rsidR="00722E16">
        <w:t>implantação</w:t>
      </w:r>
      <w:r>
        <w:t xml:space="preserve"> de áreas de Zona Especial, definição de corredores comerciais, alterações do perímetro urbano, alteração de regras específicas etc.) seja proposta em um PLC específico. Isso facilitaria tanto na identificação de cada proposta pelos vereadores e pela sociedade civil, quanto na qualidade do debate.</w:t>
      </w:r>
    </w:p>
    <w:p w14:paraId="2E3A34C9" w14:textId="77777777" w:rsidR="00AE2B0E" w:rsidRDefault="00AE2B0E" w:rsidP="00392874">
      <w:pPr>
        <w:pStyle w:val="PargrafodaLista"/>
        <w:jc w:val="both"/>
      </w:pPr>
    </w:p>
    <w:p w14:paraId="69CA9E52" w14:textId="723CD02C" w:rsidR="002C3FF6" w:rsidRDefault="00C935FF" w:rsidP="00392874">
      <w:pPr>
        <w:pStyle w:val="PargrafodaLista"/>
        <w:numPr>
          <w:ilvl w:val="0"/>
          <w:numId w:val="5"/>
        </w:numPr>
        <w:ind w:left="360"/>
        <w:jc w:val="both"/>
      </w:pPr>
      <w:r w:rsidRPr="00C935FF">
        <w:t xml:space="preserve">Incluir no </w:t>
      </w:r>
      <w:r w:rsidR="006F4603">
        <w:t xml:space="preserve">novo PD </w:t>
      </w:r>
      <w:r w:rsidRPr="00C935FF">
        <w:t>a determinação do congelamento do perímetro urbano enquanto não houver redução em 30% da extensão total dos vazios urbanos existentes.</w:t>
      </w:r>
    </w:p>
    <w:p w14:paraId="1D2898EA" w14:textId="77777777" w:rsidR="00F3377A" w:rsidRDefault="00F3377A" w:rsidP="00392874">
      <w:pPr>
        <w:jc w:val="both"/>
      </w:pPr>
    </w:p>
    <w:p w14:paraId="397F1CC7" w14:textId="77777777" w:rsidR="000B43F3" w:rsidRPr="000B43F3" w:rsidRDefault="000B43F3" w:rsidP="00392874">
      <w:pPr>
        <w:pStyle w:val="PargrafodaLista"/>
        <w:numPr>
          <w:ilvl w:val="0"/>
          <w:numId w:val="3"/>
        </w:numPr>
        <w:ind w:left="360"/>
        <w:jc w:val="both"/>
        <w:rPr>
          <w:b/>
        </w:rPr>
      </w:pPr>
      <w:r w:rsidRPr="000B43F3">
        <w:rPr>
          <w:b/>
        </w:rPr>
        <w:t>Tornar mais criteriosa a implantação de Zonas Especiais de Interesse Social de tipo 2</w:t>
      </w:r>
    </w:p>
    <w:p w14:paraId="5C7FDAFA" w14:textId="77777777" w:rsidR="000B43F3" w:rsidRDefault="000B43F3" w:rsidP="00392874">
      <w:pPr>
        <w:jc w:val="both"/>
      </w:pPr>
    </w:p>
    <w:p w14:paraId="30009D1C" w14:textId="77777777" w:rsidR="000B43F3" w:rsidRDefault="006D4BFD" w:rsidP="00392874">
      <w:pPr>
        <w:pStyle w:val="PargrafodaLista"/>
        <w:numPr>
          <w:ilvl w:val="0"/>
          <w:numId w:val="5"/>
        </w:numPr>
        <w:ind w:left="360"/>
        <w:jc w:val="both"/>
      </w:pPr>
      <w:r>
        <w:t>Proibir</w:t>
      </w:r>
      <w:r w:rsidR="000B43F3">
        <w:t xml:space="preserve"> a possibilidade de implantar ZEIS 2 em Zonas de Ocupação Restrita (ZOR), Zonas de Ocupação Controladas por Infra-Estrutura (ZOCIE) e Zonas de Ocupação Controlada por Fragilidade Ambiental (ZOCFA).</w:t>
      </w:r>
      <w:r>
        <w:t xml:space="preserve"> No PD atualmente em vigor, essas possibilidades estão previstas no Art. 80.</w:t>
      </w:r>
      <w:r w:rsidR="000B43F3">
        <w:t xml:space="preserve"> </w:t>
      </w:r>
      <w:r>
        <w:t>A proposta é, portanto,</w:t>
      </w:r>
      <w:r w:rsidR="000B43F3">
        <w:t xml:space="preserve"> determinar, no novo PD, que ZEIS 2 possam ser implantadas apenas em zonas próprias para o adensamento populacional: Zona de Adensamento Prioritário (ZAP) e Zona de Adensamento Secundário (ZAS).</w:t>
      </w:r>
    </w:p>
    <w:p w14:paraId="2298116B" w14:textId="77777777" w:rsidR="000B43F3" w:rsidRDefault="000B43F3" w:rsidP="00392874">
      <w:pPr>
        <w:pStyle w:val="PargrafodaLista"/>
        <w:ind w:left="360"/>
        <w:jc w:val="both"/>
      </w:pPr>
    </w:p>
    <w:p w14:paraId="421EF518" w14:textId="22125758" w:rsidR="00365A73" w:rsidRDefault="000B43F3" w:rsidP="00392874">
      <w:pPr>
        <w:pStyle w:val="PargrafodaLista"/>
        <w:numPr>
          <w:ilvl w:val="0"/>
          <w:numId w:val="5"/>
        </w:numPr>
        <w:ind w:left="360"/>
        <w:jc w:val="both"/>
      </w:pPr>
      <w:r>
        <w:t>Incluir a determinação de que sejam realizadas Audiências Públicas para a implantação de ZEIS 2.</w:t>
      </w:r>
      <w:r w:rsidR="00FD32D9">
        <w:t xml:space="preserve"> Esta determinação </w:t>
      </w:r>
      <w:r w:rsidR="006D4BFD">
        <w:t xml:space="preserve">encontrava-se no Art. 79 do PD atualmente em vigor, porém </w:t>
      </w:r>
      <w:r w:rsidR="00FD32D9">
        <w:t>foi suprimida pela LC 222/2008.</w:t>
      </w:r>
      <w:r w:rsidR="006D4BFD">
        <w:t xml:space="preserve"> </w:t>
      </w:r>
    </w:p>
    <w:p w14:paraId="55C9687A" w14:textId="77777777" w:rsidR="000B43F3" w:rsidRDefault="000B43F3" w:rsidP="00392874">
      <w:pPr>
        <w:pStyle w:val="PargrafodaLista"/>
        <w:ind w:left="360"/>
        <w:jc w:val="both"/>
      </w:pPr>
    </w:p>
    <w:p w14:paraId="2AB9F2ED" w14:textId="77777777" w:rsidR="000B43F3" w:rsidRDefault="000B43F3" w:rsidP="00392874">
      <w:pPr>
        <w:pStyle w:val="PargrafodaLista"/>
        <w:numPr>
          <w:ilvl w:val="0"/>
          <w:numId w:val="5"/>
        </w:numPr>
        <w:ind w:left="360"/>
        <w:jc w:val="both"/>
      </w:pPr>
      <w:r>
        <w:t>Adicionar determinações para que estas Audiências contem com maior participação da sociedade civil:</w:t>
      </w:r>
    </w:p>
    <w:p w14:paraId="3AA94970" w14:textId="77777777" w:rsidR="000B43F3" w:rsidRDefault="000B43F3" w:rsidP="00392874">
      <w:pPr>
        <w:pStyle w:val="PargrafodaLista"/>
        <w:numPr>
          <w:ilvl w:val="1"/>
          <w:numId w:val="5"/>
        </w:numPr>
        <w:ind w:left="720"/>
        <w:jc w:val="both"/>
      </w:pPr>
      <w:r>
        <w:t>Devem ocorrer fora do horário comercial</w:t>
      </w:r>
    </w:p>
    <w:p w14:paraId="0B731147" w14:textId="77777777" w:rsidR="000B43F3" w:rsidRDefault="000B43F3" w:rsidP="00392874">
      <w:pPr>
        <w:pStyle w:val="PargrafodaLista"/>
        <w:numPr>
          <w:ilvl w:val="1"/>
          <w:numId w:val="5"/>
        </w:numPr>
        <w:ind w:left="720"/>
        <w:jc w:val="both"/>
      </w:pPr>
      <w:r>
        <w:t>Devem ser divulgadas com duas semanas de antecedência no site da Prefeitura, nos jornais de grande circulação, nas rádios, e de maneira impressa nos principais edifícios de uso público. Devem também ser enviados convites a todos os conselhos municipais e associações de bairro.</w:t>
      </w:r>
    </w:p>
    <w:p w14:paraId="020068C0" w14:textId="77777777" w:rsidR="00365A73" w:rsidRDefault="00365A73" w:rsidP="00392874">
      <w:pPr>
        <w:pStyle w:val="PargrafodaLista"/>
        <w:jc w:val="both"/>
      </w:pPr>
    </w:p>
    <w:p w14:paraId="34AD9380" w14:textId="773FFCA1" w:rsidR="00365A73" w:rsidRDefault="00365A73" w:rsidP="00392874">
      <w:pPr>
        <w:pStyle w:val="PargrafodaLista"/>
        <w:numPr>
          <w:ilvl w:val="0"/>
          <w:numId w:val="5"/>
        </w:numPr>
        <w:ind w:left="360"/>
        <w:jc w:val="both"/>
      </w:pPr>
      <w:r>
        <w:t>Incluir a determinação de que propostas de implantação de ZEIS 2 devam não apenas passar por audiência pública, como também serem sujeitas à aprovação do Conselho da Cidade.</w:t>
      </w:r>
      <w:r w:rsidR="007348ED">
        <w:t xml:space="preserve"> </w:t>
      </w:r>
      <w:r w:rsidR="00E1615C">
        <w:t>Incluir como</w:t>
      </w:r>
      <w:r>
        <w:t xml:space="preserve"> um novo parágrafo do Art. 79 do PD atualmente em vigor.</w:t>
      </w:r>
    </w:p>
    <w:p w14:paraId="586A7E20" w14:textId="77777777" w:rsidR="009037D1" w:rsidRDefault="009037D1" w:rsidP="00392874">
      <w:pPr>
        <w:jc w:val="both"/>
      </w:pPr>
    </w:p>
    <w:p w14:paraId="31863189" w14:textId="77777777" w:rsidR="00ED7F9E" w:rsidRDefault="00ED7F9E" w:rsidP="00392874">
      <w:pPr>
        <w:jc w:val="both"/>
      </w:pPr>
    </w:p>
    <w:p w14:paraId="04272638" w14:textId="77777777" w:rsidR="00ED7F9E" w:rsidRDefault="00ED7F9E" w:rsidP="00392874">
      <w:pPr>
        <w:jc w:val="both"/>
      </w:pPr>
    </w:p>
    <w:p w14:paraId="6CF1F6D3" w14:textId="77777777" w:rsidR="00ED7F9E" w:rsidRDefault="00ED7F9E" w:rsidP="00392874">
      <w:pPr>
        <w:jc w:val="both"/>
      </w:pPr>
    </w:p>
    <w:p w14:paraId="08756759" w14:textId="77777777" w:rsidR="001D71BA" w:rsidRDefault="001D71BA" w:rsidP="00392874">
      <w:pPr>
        <w:jc w:val="both"/>
        <w:rPr>
          <w:b/>
          <w:i/>
          <w:sz w:val="28"/>
        </w:rPr>
      </w:pPr>
    </w:p>
    <w:p w14:paraId="1B0A6D05" w14:textId="77777777" w:rsidR="001D71BA" w:rsidRDefault="000018B3" w:rsidP="00392874">
      <w:pPr>
        <w:pStyle w:val="PargrafodaLista"/>
        <w:numPr>
          <w:ilvl w:val="0"/>
          <w:numId w:val="3"/>
        </w:numPr>
        <w:ind w:left="360"/>
        <w:jc w:val="both"/>
        <w:rPr>
          <w:b/>
        </w:rPr>
      </w:pPr>
      <w:r w:rsidRPr="000018B3">
        <w:rPr>
          <w:b/>
        </w:rPr>
        <w:t xml:space="preserve">Reestruturar </w:t>
      </w:r>
      <w:r>
        <w:rPr>
          <w:b/>
        </w:rPr>
        <w:t>o Conselho da Cidade</w:t>
      </w:r>
    </w:p>
    <w:p w14:paraId="7A050851" w14:textId="77777777" w:rsidR="000018B3" w:rsidRDefault="000018B3" w:rsidP="00392874">
      <w:pPr>
        <w:jc w:val="both"/>
      </w:pPr>
    </w:p>
    <w:p w14:paraId="2E1D11C6" w14:textId="79DF689C" w:rsidR="009E3A96" w:rsidRDefault="00B610A4" w:rsidP="00392874">
      <w:pPr>
        <w:pStyle w:val="PargrafodaLista"/>
        <w:numPr>
          <w:ilvl w:val="0"/>
          <w:numId w:val="5"/>
        </w:numPr>
        <w:ind w:left="360"/>
        <w:jc w:val="both"/>
      </w:pPr>
      <w:r>
        <w:t xml:space="preserve">Alterar a composição do Conselho da Cidade no que tange à proporcionalidade entre representantes da sociedade civil e do poder público. Atualmente, 50% dos membros representam cada um desses segmentos. </w:t>
      </w:r>
      <w:r w:rsidR="00237642">
        <w:t>Propomos</w:t>
      </w:r>
      <w:r>
        <w:t xml:space="preserve"> alterar para 60% sociedade civil e 40% poder público. Essa proposta está de acordo </w:t>
      </w:r>
      <w:r w:rsidR="000A01A2">
        <w:t>com a Resolução nº 25 da 2ª Conferência Nacional das Cidades e com o documento “</w:t>
      </w:r>
      <w:hyperlink r:id="rId7" w:history="1">
        <w:r w:rsidR="000A01A2" w:rsidRPr="000A01A2">
          <w:rPr>
            <w:rStyle w:val="Hyperlink"/>
          </w:rPr>
          <w:t>Orientações para a Criação dos Conselhos da Cidade nos Municípios</w:t>
        </w:r>
      </w:hyperlink>
      <w:r w:rsidR="000A01A2">
        <w:t>”, de autoria do Conselho das Cidades.</w:t>
      </w:r>
    </w:p>
    <w:p w14:paraId="2C3FA6A2" w14:textId="77777777" w:rsidR="00C6790F" w:rsidRDefault="00C6790F" w:rsidP="00392874">
      <w:pPr>
        <w:pStyle w:val="PargrafodaLista"/>
        <w:ind w:left="360"/>
        <w:jc w:val="both"/>
      </w:pPr>
    </w:p>
    <w:p w14:paraId="20E85631" w14:textId="77777777" w:rsidR="00CF7555" w:rsidRDefault="00165C64" w:rsidP="00392874">
      <w:pPr>
        <w:pStyle w:val="PargrafodaLista"/>
        <w:numPr>
          <w:ilvl w:val="1"/>
          <w:numId w:val="5"/>
        </w:numPr>
        <w:ind w:left="720"/>
        <w:jc w:val="both"/>
      </w:pPr>
      <w:r>
        <w:t>Nova composição do Conselho da Cidade:</w:t>
      </w:r>
    </w:p>
    <w:p w14:paraId="0C3F5844" w14:textId="77777777" w:rsidR="00165C64" w:rsidRDefault="00165C64" w:rsidP="00392874">
      <w:pPr>
        <w:pStyle w:val="PargrafodaLista"/>
        <w:numPr>
          <w:ilvl w:val="2"/>
          <w:numId w:val="5"/>
        </w:numPr>
        <w:ind w:left="1068"/>
        <w:jc w:val="both"/>
      </w:pPr>
      <w:r>
        <w:t>13 representantes do poder público municipal, sendo 11 representantes do Poder Executivo indicados pelo Prefeito e 2 representantes do Poder Legislativo indicados pelo Presidente da Câmara.</w:t>
      </w:r>
    </w:p>
    <w:p w14:paraId="7529E099" w14:textId="77777777" w:rsidR="00165C64" w:rsidRDefault="00165C64" w:rsidP="00392874">
      <w:pPr>
        <w:pStyle w:val="PargrafodaLista"/>
        <w:numPr>
          <w:ilvl w:val="2"/>
          <w:numId w:val="5"/>
        </w:numPr>
        <w:ind w:left="1068"/>
        <w:jc w:val="both"/>
      </w:pPr>
      <w:r>
        <w:t>19 representantes da sociedade civil</w:t>
      </w:r>
      <w:r w:rsidR="00F357A2">
        <w:t>, sendo:</w:t>
      </w:r>
    </w:p>
    <w:p w14:paraId="629A3AC0" w14:textId="77777777" w:rsidR="00F357A2" w:rsidRDefault="00F357A2" w:rsidP="00392874">
      <w:pPr>
        <w:pStyle w:val="PargrafodaLista"/>
        <w:numPr>
          <w:ilvl w:val="3"/>
          <w:numId w:val="5"/>
        </w:numPr>
        <w:ind w:left="1428"/>
        <w:jc w:val="both"/>
      </w:pPr>
      <w:r>
        <w:t>4 representantes dos movimentos populares com atuação na área de desenvolvimento urbano ou associações de moradores</w:t>
      </w:r>
    </w:p>
    <w:p w14:paraId="51CCCA9D" w14:textId="77777777" w:rsidR="00F357A2" w:rsidRDefault="00F357A2" w:rsidP="00392874">
      <w:pPr>
        <w:pStyle w:val="PargrafodaLista"/>
        <w:numPr>
          <w:ilvl w:val="3"/>
          <w:numId w:val="5"/>
        </w:numPr>
        <w:ind w:left="1428"/>
        <w:jc w:val="both"/>
      </w:pPr>
      <w:r>
        <w:t>3 representantes dos trabalhadores, por suas entidades sindicais, com atuação na área de desenvolvimento urbano</w:t>
      </w:r>
    </w:p>
    <w:p w14:paraId="3885D455" w14:textId="77777777" w:rsidR="00F357A2" w:rsidRDefault="00F357A2" w:rsidP="00392874">
      <w:pPr>
        <w:pStyle w:val="PargrafodaLista"/>
        <w:numPr>
          <w:ilvl w:val="3"/>
          <w:numId w:val="5"/>
        </w:numPr>
        <w:ind w:left="1428"/>
        <w:jc w:val="both"/>
      </w:pPr>
      <w:r>
        <w:t>3 representantes dos empresários relacionados à produção, fomento e ao financiamento do desenvolvimento urbano</w:t>
      </w:r>
    </w:p>
    <w:p w14:paraId="012F9EEB" w14:textId="77777777" w:rsidR="00F357A2" w:rsidRDefault="00F357A2" w:rsidP="00392874">
      <w:pPr>
        <w:pStyle w:val="PargrafodaLista"/>
        <w:numPr>
          <w:ilvl w:val="3"/>
          <w:numId w:val="5"/>
        </w:numPr>
        <w:ind w:left="1428"/>
        <w:jc w:val="both"/>
      </w:pPr>
      <w:r>
        <w:t>2 representantes de entidades profissionais, acadêmicas e de pesquisa e conselhos profissionais com atuação na área de desenvolvimento urbano</w:t>
      </w:r>
    </w:p>
    <w:p w14:paraId="1AF04F47" w14:textId="77777777" w:rsidR="00F357A2" w:rsidRDefault="00F357A2" w:rsidP="00392874">
      <w:pPr>
        <w:pStyle w:val="PargrafodaLista"/>
        <w:numPr>
          <w:ilvl w:val="3"/>
          <w:numId w:val="5"/>
        </w:numPr>
        <w:ind w:left="1428"/>
        <w:jc w:val="both"/>
      </w:pPr>
      <w:r>
        <w:t>2 representantes de organizações não governamentais</w:t>
      </w:r>
    </w:p>
    <w:p w14:paraId="6B54980C" w14:textId="3FCC02EA" w:rsidR="00F357A2" w:rsidRDefault="00084C0F" w:rsidP="00392874">
      <w:pPr>
        <w:pStyle w:val="PargrafodaLista"/>
        <w:numPr>
          <w:ilvl w:val="3"/>
          <w:numId w:val="5"/>
        </w:numPr>
        <w:ind w:left="1428"/>
        <w:jc w:val="both"/>
      </w:pPr>
      <w:r>
        <w:t xml:space="preserve">1 representante </w:t>
      </w:r>
      <w:r w:rsidR="00F357A2">
        <w:t xml:space="preserve"> do Conselho Municipal de Mobilidade Urbana</w:t>
      </w:r>
    </w:p>
    <w:p w14:paraId="2759FFBB" w14:textId="4910407D" w:rsidR="00F357A2" w:rsidRDefault="00084C0F" w:rsidP="00392874">
      <w:pPr>
        <w:pStyle w:val="PargrafodaLista"/>
        <w:numPr>
          <w:ilvl w:val="3"/>
          <w:numId w:val="5"/>
        </w:numPr>
        <w:ind w:left="1428"/>
        <w:jc w:val="both"/>
      </w:pPr>
      <w:r>
        <w:t xml:space="preserve">1 representante </w:t>
      </w:r>
      <w:r w:rsidR="00F357A2">
        <w:t xml:space="preserve"> do Conselho Municipal de Defesa do Meio Ambiente</w:t>
      </w:r>
    </w:p>
    <w:p w14:paraId="1961CADB" w14:textId="441FB95E" w:rsidR="00403741" w:rsidRDefault="00084C0F" w:rsidP="00392874">
      <w:pPr>
        <w:pStyle w:val="PargrafodaLista"/>
        <w:numPr>
          <w:ilvl w:val="3"/>
          <w:numId w:val="5"/>
        </w:numPr>
        <w:ind w:left="1428"/>
        <w:jc w:val="both"/>
      </w:pPr>
      <w:r>
        <w:t xml:space="preserve">1 representante </w:t>
      </w:r>
      <w:r w:rsidR="00403741">
        <w:t>do Conselho Municipal do Desenvolvimento Rural</w:t>
      </w:r>
    </w:p>
    <w:p w14:paraId="42B47270" w14:textId="64517FCD" w:rsidR="0065328C" w:rsidRDefault="00084C0F" w:rsidP="00392874">
      <w:pPr>
        <w:pStyle w:val="PargrafodaLista"/>
        <w:numPr>
          <w:ilvl w:val="3"/>
          <w:numId w:val="5"/>
        </w:numPr>
        <w:ind w:left="1428"/>
        <w:jc w:val="both"/>
      </w:pPr>
      <w:r>
        <w:t xml:space="preserve">1 representante </w:t>
      </w:r>
      <w:r w:rsidR="00403741">
        <w:t xml:space="preserve">do Conselho de </w:t>
      </w:r>
      <w:r w:rsidR="00403741" w:rsidRPr="00403741">
        <w:t>O Conselho Municipal de Proteção, Direitos e Desenvolvime</w:t>
      </w:r>
      <w:r w:rsidR="00403741">
        <w:t>nto da Pessoa com Deficiência</w:t>
      </w:r>
    </w:p>
    <w:p w14:paraId="5CC1494F" w14:textId="77777777" w:rsidR="00403741" w:rsidRDefault="00403741" w:rsidP="00392874">
      <w:pPr>
        <w:jc w:val="both"/>
      </w:pPr>
    </w:p>
    <w:p w14:paraId="1F9713CC" w14:textId="5C37CC7D" w:rsidR="0065328C" w:rsidRDefault="0065328C" w:rsidP="00392874">
      <w:pPr>
        <w:pStyle w:val="PargrafodaLista"/>
        <w:numPr>
          <w:ilvl w:val="0"/>
          <w:numId w:val="5"/>
        </w:numPr>
        <w:ind w:left="360"/>
        <w:jc w:val="both"/>
      </w:pPr>
      <w:r>
        <w:t xml:space="preserve">Adicionar um parágrafo no artigo que tratará da composição do conselho determinando que seja </w:t>
      </w:r>
      <w:r w:rsidR="00403741">
        <w:t>respeitada a paridade de gênero (</w:t>
      </w:r>
      <w:r>
        <w:t>ou seja, que a composição</w:t>
      </w:r>
      <w:r w:rsidR="00D75BCC">
        <w:t xml:space="preserve"> do conselho</w:t>
      </w:r>
      <w:r>
        <w:t xml:space="preserve"> conte com 50% dos representantes do gênero feminino e 50% do masculino</w:t>
      </w:r>
      <w:r w:rsidR="00403741">
        <w:t>) e que se procure atender à diversidade étnico-racial da população piracicabana</w:t>
      </w:r>
      <w:r>
        <w:t>.</w:t>
      </w:r>
    </w:p>
    <w:p w14:paraId="01DF3C2D" w14:textId="77777777" w:rsidR="006C5452" w:rsidRDefault="006C5452" w:rsidP="00392874">
      <w:pPr>
        <w:jc w:val="both"/>
      </w:pPr>
    </w:p>
    <w:p w14:paraId="6C142D43" w14:textId="77777777" w:rsidR="006C5452" w:rsidRDefault="006C5452" w:rsidP="00392874">
      <w:pPr>
        <w:pStyle w:val="PargrafodaLista"/>
        <w:numPr>
          <w:ilvl w:val="0"/>
          <w:numId w:val="5"/>
        </w:numPr>
        <w:ind w:left="360"/>
        <w:jc w:val="both"/>
      </w:pPr>
      <w:r>
        <w:t>Alterar o Parágrafo Único do Art. 29 do Regimento Interno do Conselho da Cidade, aprovado pelo Decreto nº 15.614/2014, elevando o quórum mínimo para a instalação dos trabalhos da plenária de um terço dos conselheiros com direito a voto para metade dos conselheiros com direito a voto.</w:t>
      </w:r>
    </w:p>
    <w:p w14:paraId="5D1955E8" w14:textId="77777777" w:rsidR="006C5452" w:rsidRDefault="006C5452" w:rsidP="00392874">
      <w:pPr>
        <w:pStyle w:val="PargrafodaLista"/>
        <w:ind w:left="360"/>
        <w:jc w:val="both"/>
      </w:pPr>
    </w:p>
    <w:p w14:paraId="30018BB6" w14:textId="77777777" w:rsidR="006C5452" w:rsidRPr="000018B3" w:rsidRDefault="006C5452" w:rsidP="00392874">
      <w:pPr>
        <w:pStyle w:val="PargrafodaLista"/>
        <w:numPr>
          <w:ilvl w:val="0"/>
          <w:numId w:val="5"/>
        </w:numPr>
        <w:ind w:left="360"/>
        <w:jc w:val="both"/>
      </w:pPr>
      <w:r>
        <w:t>Alterar o Art. 32 do Regimento Interno do Conselho da Cidade, aprovado pelo Decreto nº 15.614/2014, elevando o quórum mínimo para a instalação dos trabalhos das Câmaras Técnicas de um terço</w:t>
      </w:r>
      <w:r w:rsidR="00D1658E">
        <w:t xml:space="preserve"> para metade dos representantes que a compõem.</w:t>
      </w:r>
    </w:p>
    <w:p w14:paraId="46598435" w14:textId="77777777" w:rsidR="001D71BA" w:rsidRDefault="001D71BA" w:rsidP="00392874">
      <w:pPr>
        <w:jc w:val="both"/>
      </w:pPr>
    </w:p>
    <w:p w14:paraId="7331BCD8" w14:textId="77777777" w:rsidR="00CD56B0" w:rsidRDefault="00CD56B0" w:rsidP="00392874">
      <w:pPr>
        <w:jc w:val="both"/>
      </w:pPr>
    </w:p>
    <w:p w14:paraId="0777C7CD" w14:textId="77777777" w:rsidR="00E123A4" w:rsidRDefault="00E123A4" w:rsidP="00392874">
      <w:pPr>
        <w:jc w:val="both"/>
      </w:pPr>
    </w:p>
    <w:p w14:paraId="1938B1C8" w14:textId="77777777" w:rsidR="00E123A4" w:rsidRDefault="00E123A4" w:rsidP="00392874">
      <w:pPr>
        <w:jc w:val="both"/>
      </w:pPr>
    </w:p>
    <w:p w14:paraId="2F0902E0" w14:textId="77777777" w:rsidR="00E123A4" w:rsidRDefault="00E123A4" w:rsidP="00392874">
      <w:pPr>
        <w:jc w:val="both"/>
      </w:pPr>
    </w:p>
    <w:p w14:paraId="1622B197" w14:textId="293FFFD7" w:rsidR="00081647" w:rsidRPr="000B43F3" w:rsidRDefault="00081647" w:rsidP="00392874">
      <w:pPr>
        <w:pStyle w:val="PargrafodaLista"/>
        <w:numPr>
          <w:ilvl w:val="0"/>
          <w:numId w:val="3"/>
        </w:numPr>
        <w:ind w:left="360"/>
        <w:jc w:val="both"/>
        <w:rPr>
          <w:b/>
        </w:rPr>
      </w:pPr>
      <w:r>
        <w:rPr>
          <w:b/>
        </w:rPr>
        <w:t>Garantir a regulamentação de instrumentos urbanísticos</w:t>
      </w:r>
    </w:p>
    <w:p w14:paraId="209FE600" w14:textId="77777777" w:rsidR="00CD56B0" w:rsidRDefault="00CD56B0" w:rsidP="00392874">
      <w:pPr>
        <w:jc w:val="both"/>
      </w:pPr>
    </w:p>
    <w:p w14:paraId="314750FD" w14:textId="5288A14E" w:rsidR="00CD56B0" w:rsidRDefault="001B5A74" w:rsidP="00392874">
      <w:pPr>
        <w:pStyle w:val="PargrafodaLista"/>
        <w:numPr>
          <w:ilvl w:val="0"/>
          <w:numId w:val="5"/>
        </w:numPr>
        <w:ind w:left="360"/>
        <w:jc w:val="both"/>
      </w:pPr>
      <w:r>
        <w:t xml:space="preserve">Incluir no novo PD a determinação de que todos os instrumentos jurídico-urbanísticos previstos, porém não regulamentados, deverão sê-lo no prazo de </w:t>
      </w:r>
      <w:r w:rsidR="00A15FC0">
        <w:t xml:space="preserve">dois anos </w:t>
      </w:r>
      <w:r>
        <w:t>após a entrada em vigor do PD.</w:t>
      </w:r>
      <w:r w:rsidR="006521A6">
        <w:t xml:space="preserve"> Instrumentos não regulamentados no atual PD:</w:t>
      </w:r>
      <w:r>
        <w:t xml:space="preserve"> IPTU Progressivo, </w:t>
      </w:r>
      <w:r w:rsidR="004E26FE">
        <w:t xml:space="preserve">Transferência </w:t>
      </w:r>
      <w:r>
        <w:t xml:space="preserve">do Direito de Construir, </w:t>
      </w:r>
      <w:r w:rsidR="00963F74">
        <w:t>Direito de Preempção.</w:t>
      </w:r>
    </w:p>
    <w:p w14:paraId="62921C32" w14:textId="77777777" w:rsidR="00D34A02" w:rsidRDefault="00D34A02" w:rsidP="00392874">
      <w:pPr>
        <w:pStyle w:val="PargrafodaLista"/>
        <w:ind w:left="360"/>
        <w:jc w:val="both"/>
      </w:pPr>
    </w:p>
    <w:p w14:paraId="2E6449E1" w14:textId="48258473" w:rsidR="00BF2C78" w:rsidRDefault="00BF2C78" w:rsidP="00392874">
      <w:pPr>
        <w:pStyle w:val="PargrafodaLista"/>
        <w:numPr>
          <w:ilvl w:val="0"/>
          <w:numId w:val="5"/>
        </w:numPr>
        <w:ind w:left="360"/>
        <w:jc w:val="both"/>
      </w:pPr>
      <w:r>
        <w:t xml:space="preserve">Determinar que </w:t>
      </w:r>
      <w:r w:rsidR="00963F74">
        <w:t xml:space="preserve">propostas de regulamentação dos instrumentos jurídico-urbanísticos </w:t>
      </w:r>
      <w:r>
        <w:t xml:space="preserve">serão postas submetidas a audiências públicas, respeitando </w:t>
      </w:r>
      <w:r w:rsidR="00DB4CA9">
        <w:t>as seguintes regras</w:t>
      </w:r>
      <w:r>
        <w:t>:</w:t>
      </w:r>
    </w:p>
    <w:p w14:paraId="58730EA2" w14:textId="77777777" w:rsidR="00BF2C78" w:rsidRDefault="00BF2C78" w:rsidP="00392874">
      <w:pPr>
        <w:pStyle w:val="PargrafodaLista"/>
        <w:numPr>
          <w:ilvl w:val="1"/>
          <w:numId w:val="5"/>
        </w:numPr>
        <w:ind w:left="720"/>
        <w:jc w:val="both"/>
      </w:pPr>
      <w:r>
        <w:t>Devem ocorrer fora do horário comercial</w:t>
      </w:r>
    </w:p>
    <w:p w14:paraId="7B3EB8FD" w14:textId="2B95EE12" w:rsidR="00963F74" w:rsidRDefault="00BF2C78" w:rsidP="00392874">
      <w:pPr>
        <w:pStyle w:val="PargrafodaLista"/>
        <w:numPr>
          <w:ilvl w:val="1"/>
          <w:numId w:val="5"/>
        </w:numPr>
        <w:ind w:left="720"/>
        <w:jc w:val="both"/>
      </w:pPr>
      <w:r>
        <w:t>Devem ser divulgadas com duas semanas de antecedência no site da Prefeitura, nos jornais de grande circulação, nas rádios, e de maneira impressa nos principais edifícios de uso público. Devem também ser enviados convites a todos os conselhos municipais e associações de bairro.</w:t>
      </w:r>
    </w:p>
    <w:p w14:paraId="140839A9" w14:textId="77777777" w:rsidR="00E555A9" w:rsidRDefault="00E555A9" w:rsidP="00392874">
      <w:pPr>
        <w:jc w:val="both"/>
      </w:pPr>
    </w:p>
    <w:p w14:paraId="2E01BE4F" w14:textId="63A50604" w:rsidR="00E555A9" w:rsidRDefault="00E555A9" w:rsidP="00392874">
      <w:pPr>
        <w:pStyle w:val="PargrafodaLista"/>
        <w:numPr>
          <w:ilvl w:val="0"/>
          <w:numId w:val="3"/>
        </w:numPr>
        <w:ind w:left="360"/>
        <w:jc w:val="both"/>
        <w:rPr>
          <w:b/>
        </w:rPr>
      </w:pPr>
      <w:r>
        <w:rPr>
          <w:b/>
        </w:rPr>
        <w:t>Loteamentos clandestinos</w:t>
      </w:r>
      <w:r w:rsidR="00112635">
        <w:rPr>
          <w:b/>
        </w:rPr>
        <w:t>/ Regularização Fundiária:</w:t>
      </w:r>
    </w:p>
    <w:p w14:paraId="32C740F7" w14:textId="77777777" w:rsidR="00E555A9" w:rsidRDefault="00E555A9" w:rsidP="00392874">
      <w:pPr>
        <w:jc w:val="both"/>
        <w:rPr>
          <w:b/>
        </w:rPr>
      </w:pPr>
    </w:p>
    <w:p w14:paraId="68555D58" w14:textId="49708C31" w:rsidR="00A904AD" w:rsidRDefault="00112635" w:rsidP="00392874">
      <w:pPr>
        <w:pStyle w:val="PargrafodaLista"/>
        <w:numPr>
          <w:ilvl w:val="0"/>
          <w:numId w:val="7"/>
        </w:numPr>
        <w:jc w:val="both"/>
      </w:pPr>
      <w:r w:rsidRPr="00112635">
        <w:t xml:space="preserve">Regulamentar o inciso X do </w:t>
      </w:r>
      <w:r w:rsidR="00045E7E">
        <w:t>Artigo 10, S</w:t>
      </w:r>
      <w:r w:rsidRPr="00112635">
        <w:t>eção I – da Política Fundiária Municipal</w:t>
      </w:r>
      <w:r w:rsidR="00045E7E">
        <w:t>, e o inciso IV, do Artigo 11, S</w:t>
      </w:r>
      <w:r w:rsidRPr="00112635">
        <w:t>eção II – Da Politica Municipal de Habitação, ambos do Capitulo III – Das Diretrizes e Estratégias da Politica Territorial</w:t>
      </w:r>
      <w:r w:rsidR="00045E7E">
        <w:t xml:space="preserve"> de imediato já </w:t>
      </w:r>
      <w:r w:rsidRPr="00112635">
        <w:t xml:space="preserve"> na revisão do Plano Diretor</w:t>
      </w:r>
      <w:r>
        <w:t>:</w:t>
      </w:r>
    </w:p>
    <w:p w14:paraId="2309C6D2" w14:textId="77777777" w:rsidR="00045E7E" w:rsidRDefault="00045E7E" w:rsidP="00392874">
      <w:pPr>
        <w:pStyle w:val="PargrafodaLista"/>
        <w:jc w:val="both"/>
      </w:pPr>
    </w:p>
    <w:p w14:paraId="03990684" w14:textId="77777777" w:rsidR="00045E7E" w:rsidRDefault="00112635" w:rsidP="00392874">
      <w:pPr>
        <w:pStyle w:val="PargrafodaLista"/>
        <w:jc w:val="both"/>
        <w:rPr>
          <w:rFonts w:ascii="Calibri" w:eastAsia="Times New Roman" w:hAnsi="Calibri" w:cs="Calibri"/>
          <w:color w:val="333333"/>
          <w:sz w:val="23"/>
          <w:szCs w:val="23"/>
          <w:lang w:eastAsia="pt-BR"/>
        </w:rPr>
      </w:pPr>
      <w:r>
        <w:t xml:space="preserve">Art. 10. </w:t>
      </w:r>
      <w:r w:rsidR="00F43416" w:rsidRPr="004F307C">
        <w:rPr>
          <w:rFonts w:ascii="Calibri" w:eastAsia="Times New Roman" w:hAnsi="Calibri" w:cs="Calibri"/>
          <w:color w:val="333333"/>
          <w:sz w:val="23"/>
          <w:szCs w:val="23"/>
          <w:shd w:val="clear" w:color="auto" w:fill="FFFFFF"/>
          <w:lang w:eastAsia="pt-BR"/>
        </w:rPr>
        <w:t xml:space="preserve">Para a realização das diretrizes e ações estratégicas da Política Fundiária Municipal deverão ser aplicados, dentre outros, os seguintes </w:t>
      </w:r>
      <w:r w:rsidR="00045E7E" w:rsidRPr="004F307C">
        <w:rPr>
          <w:rFonts w:ascii="Calibri" w:eastAsia="Times New Roman" w:hAnsi="Calibri" w:cs="Calibri"/>
          <w:color w:val="333333"/>
          <w:sz w:val="23"/>
          <w:szCs w:val="23"/>
          <w:shd w:val="clear" w:color="auto" w:fill="FFFFFF"/>
          <w:lang w:eastAsia="pt-BR"/>
        </w:rPr>
        <w:t>instrumentos:</w:t>
      </w:r>
      <w:r w:rsidR="00045E7E" w:rsidRPr="004F307C">
        <w:rPr>
          <w:rFonts w:ascii="Calibri" w:eastAsia="Times New Roman" w:hAnsi="Calibri" w:cs="Calibri"/>
          <w:color w:val="333333"/>
          <w:sz w:val="23"/>
          <w:szCs w:val="23"/>
          <w:lang w:eastAsia="pt-BR"/>
        </w:rPr>
        <w:t xml:space="preserve"> </w:t>
      </w:r>
    </w:p>
    <w:p w14:paraId="0C726D26" w14:textId="3F23412F" w:rsidR="00045E7E" w:rsidRDefault="00045E7E" w:rsidP="00392874">
      <w:pPr>
        <w:pStyle w:val="PargrafodaLista"/>
        <w:jc w:val="both"/>
        <w:rPr>
          <w:rFonts w:ascii="Calibri" w:eastAsia="Times New Roman" w:hAnsi="Calibri" w:cs="Calibri"/>
          <w:color w:val="333333"/>
          <w:sz w:val="23"/>
          <w:szCs w:val="23"/>
          <w:lang w:eastAsia="pt-BR"/>
        </w:rPr>
      </w:pPr>
      <w:r>
        <w:rPr>
          <w:rFonts w:ascii="Calibri" w:eastAsia="Times New Roman" w:hAnsi="Calibri" w:cs="Calibri"/>
          <w:color w:val="333333"/>
          <w:sz w:val="23"/>
          <w:szCs w:val="23"/>
          <w:lang w:eastAsia="pt-BR"/>
        </w:rPr>
        <w:t>.</w:t>
      </w:r>
    </w:p>
    <w:p w14:paraId="1CD1FEA8" w14:textId="46886CDC" w:rsidR="00045E7E" w:rsidRDefault="00045E7E" w:rsidP="00392874">
      <w:pPr>
        <w:pStyle w:val="PargrafodaLista"/>
        <w:jc w:val="both"/>
        <w:rPr>
          <w:rFonts w:ascii="Calibri" w:eastAsia="Times New Roman" w:hAnsi="Calibri" w:cs="Calibri"/>
          <w:color w:val="333333"/>
          <w:sz w:val="23"/>
          <w:szCs w:val="23"/>
          <w:lang w:eastAsia="pt-BR"/>
        </w:rPr>
      </w:pPr>
      <w:r>
        <w:rPr>
          <w:rFonts w:ascii="Calibri" w:eastAsia="Times New Roman" w:hAnsi="Calibri" w:cs="Calibri"/>
          <w:color w:val="333333"/>
          <w:sz w:val="23"/>
          <w:szCs w:val="23"/>
          <w:lang w:eastAsia="pt-BR"/>
        </w:rPr>
        <w:t>.</w:t>
      </w:r>
    </w:p>
    <w:p w14:paraId="3018A248" w14:textId="209B9A12" w:rsidR="00406353" w:rsidRDefault="00045E7E" w:rsidP="00392874">
      <w:pPr>
        <w:pStyle w:val="PargrafodaLista"/>
        <w:jc w:val="both"/>
        <w:rPr>
          <w:rFonts w:ascii="Calibri" w:eastAsia="Times New Roman" w:hAnsi="Calibri" w:cs="Calibri"/>
          <w:color w:val="333333"/>
          <w:sz w:val="23"/>
          <w:szCs w:val="23"/>
          <w:lang w:eastAsia="pt-BR"/>
        </w:rPr>
      </w:pPr>
      <w:r w:rsidRPr="004F307C">
        <w:rPr>
          <w:rFonts w:ascii="Calibri" w:eastAsia="Times New Roman" w:hAnsi="Calibri" w:cs="Calibri"/>
          <w:color w:val="333333"/>
          <w:sz w:val="23"/>
          <w:szCs w:val="23"/>
          <w:lang w:eastAsia="pt-BR"/>
        </w:rPr>
        <w:t>X</w:t>
      </w:r>
      <w:r w:rsidR="00406353" w:rsidRPr="004F307C">
        <w:rPr>
          <w:rFonts w:ascii="Calibri" w:eastAsia="Times New Roman" w:hAnsi="Calibri" w:cs="Calibri"/>
          <w:color w:val="333333"/>
          <w:sz w:val="23"/>
          <w:szCs w:val="23"/>
          <w:shd w:val="clear" w:color="auto" w:fill="FFFFFF"/>
          <w:lang w:eastAsia="pt-BR"/>
        </w:rPr>
        <w:t xml:space="preserve"> - regularização fundiária;</w:t>
      </w:r>
      <w:r w:rsidR="00406353" w:rsidRPr="004F307C">
        <w:rPr>
          <w:rFonts w:ascii="Calibri" w:eastAsia="Times New Roman" w:hAnsi="Calibri" w:cs="Calibri"/>
          <w:color w:val="333333"/>
          <w:sz w:val="23"/>
          <w:szCs w:val="23"/>
          <w:lang w:eastAsia="pt-BR"/>
        </w:rPr>
        <w:br/>
      </w:r>
    </w:p>
    <w:p w14:paraId="7DBF1E1F" w14:textId="77777777" w:rsidR="00045E7E" w:rsidRDefault="00406353" w:rsidP="00392874">
      <w:pPr>
        <w:pStyle w:val="PargrafodaLista"/>
        <w:jc w:val="both"/>
        <w:rPr>
          <w:rFonts w:ascii="Calibri" w:eastAsia="Times New Roman" w:hAnsi="Calibri" w:cs="Calibri"/>
          <w:color w:val="333333"/>
          <w:sz w:val="23"/>
          <w:szCs w:val="23"/>
          <w:shd w:val="clear" w:color="auto" w:fill="FFFFFF"/>
          <w:lang w:eastAsia="pt-BR"/>
        </w:rPr>
      </w:pPr>
      <w:r>
        <w:rPr>
          <w:rFonts w:ascii="Calibri" w:eastAsia="Times New Roman" w:hAnsi="Calibri" w:cs="Calibri"/>
          <w:color w:val="333333"/>
          <w:sz w:val="23"/>
          <w:szCs w:val="23"/>
          <w:lang w:eastAsia="pt-BR"/>
        </w:rPr>
        <w:t>Art. 11.</w:t>
      </w:r>
      <w:r w:rsidR="00CE5C42" w:rsidRPr="00CE5C42">
        <w:rPr>
          <w:rFonts w:ascii="Calibri" w:eastAsia="Times New Roman" w:hAnsi="Calibri" w:cs="Calibri"/>
          <w:color w:val="333333"/>
          <w:sz w:val="23"/>
          <w:szCs w:val="23"/>
          <w:shd w:val="clear" w:color="auto" w:fill="FFFFFF"/>
          <w:lang w:eastAsia="pt-BR"/>
        </w:rPr>
        <w:t xml:space="preserve"> </w:t>
      </w:r>
      <w:r w:rsidR="00CE5C42" w:rsidRPr="004F307C">
        <w:rPr>
          <w:rFonts w:ascii="Calibri" w:eastAsia="Times New Roman" w:hAnsi="Calibri" w:cs="Calibri"/>
          <w:color w:val="333333"/>
          <w:sz w:val="23"/>
          <w:szCs w:val="23"/>
          <w:shd w:val="clear" w:color="auto" w:fill="FFFFFF"/>
          <w:lang w:eastAsia="pt-BR"/>
        </w:rPr>
        <w:t>A Política Municipal de Habitação deverá seguir as seguintes diretrizes:</w:t>
      </w:r>
    </w:p>
    <w:p w14:paraId="43C756BC" w14:textId="77777777" w:rsidR="00045E7E" w:rsidRDefault="00045E7E" w:rsidP="00392874">
      <w:pPr>
        <w:pStyle w:val="PargrafodaLista"/>
        <w:jc w:val="both"/>
        <w:rPr>
          <w:rFonts w:ascii="Calibri" w:eastAsia="Times New Roman" w:hAnsi="Calibri" w:cs="Calibri"/>
          <w:color w:val="333333"/>
          <w:sz w:val="23"/>
          <w:szCs w:val="23"/>
          <w:shd w:val="clear" w:color="auto" w:fill="FFFFFF"/>
          <w:lang w:eastAsia="pt-BR"/>
        </w:rPr>
      </w:pPr>
      <w:r>
        <w:rPr>
          <w:rFonts w:ascii="Calibri" w:eastAsia="Times New Roman" w:hAnsi="Calibri" w:cs="Calibri"/>
          <w:color w:val="333333"/>
          <w:sz w:val="23"/>
          <w:szCs w:val="23"/>
          <w:shd w:val="clear" w:color="auto" w:fill="FFFFFF"/>
          <w:lang w:eastAsia="pt-BR"/>
        </w:rPr>
        <w:t>.</w:t>
      </w:r>
    </w:p>
    <w:p w14:paraId="009D445F" w14:textId="77777777" w:rsidR="00045E7E" w:rsidRDefault="00045E7E" w:rsidP="00392874">
      <w:pPr>
        <w:pStyle w:val="PargrafodaLista"/>
        <w:jc w:val="both"/>
        <w:rPr>
          <w:rFonts w:ascii="Calibri" w:eastAsia="Times New Roman" w:hAnsi="Calibri" w:cs="Calibri"/>
          <w:color w:val="333333"/>
          <w:sz w:val="23"/>
          <w:szCs w:val="23"/>
          <w:lang w:eastAsia="pt-BR"/>
        </w:rPr>
      </w:pPr>
      <w:r>
        <w:rPr>
          <w:rFonts w:ascii="Calibri" w:eastAsia="Times New Roman" w:hAnsi="Calibri" w:cs="Calibri"/>
          <w:color w:val="333333"/>
          <w:sz w:val="23"/>
          <w:szCs w:val="23"/>
          <w:shd w:val="clear" w:color="auto" w:fill="FFFFFF"/>
          <w:lang w:eastAsia="pt-BR"/>
        </w:rPr>
        <w:t>.</w:t>
      </w:r>
      <w:r w:rsidR="00CE5C42" w:rsidRPr="004F307C">
        <w:rPr>
          <w:rFonts w:ascii="Calibri" w:eastAsia="Times New Roman" w:hAnsi="Calibri" w:cs="Calibri"/>
          <w:color w:val="333333"/>
          <w:sz w:val="23"/>
          <w:szCs w:val="23"/>
          <w:lang w:eastAsia="pt-BR"/>
        </w:rPr>
        <w:br/>
      </w:r>
      <w:r w:rsidR="00CE5C42" w:rsidRPr="004F307C">
        <w:rPr>
          <w:rFonts w:ascii="Calibri" w:eastAsia="Times New Roman" w:hAnsi="Calibri" w:cs="Calibri"/>
          <w:color w:val="333333"/>
          <w:sz w:val="23"/>
          <w:szCs w:val="23"/>
          <w:lang w:eastAsia="pt-BR"/>
        </w:rPr>
        <w:br/>
      </w:r>
      <w:r w:rsidR="00BB44BF" w:rsidRPr="004F307C">
        <w:rPr>
          <w:rFonts w:ascii="Calibri" w:eastAsia="Times New Roman" w:hAnsi="Calibri" w:cs="Calibri"/>
          <w:color w:val="333333"/>
          <w:sz w:val="23"/>
          <w:szCs w:val="23"/>
          <w:shd w:val="clear" w:color="auto" w:fill="FFFFFF"/>
          <w:lang w:eastAsia="pt-BR"/>
        </w:rPr>
        <w:t>IV - promover a regularização urbanística e fundiária dos assentamentos habitacionais precários e irregulares da população de baixa renda;</w:t>
      </w:r>
      <w:r w:rsidR="00BB44BF" w:rsidRPr="004F307C">
        <w:rPr>
          <w:rFonts w:ascii="Calibri" w:eastAsia="Times New Roman" w:hAnsi="Calibri" w:cs="Calibri"/>
          <w:color w:val="333333"/>
          <w:sz w:val="23"/>
          <w:szCs w:val="23"/>
          <w:lang w:eastAsia="pt-BR"/>
        </w:rPr>
        <w:br/>
      </w:r>
      <w:r>
        <w:rPr>
          <w:rFonts w:ascii="Calibri" w:eastAsia="Times New Roman" w:hAnsi="Calibri" w:cs="Calibri"/>
          <w:color w:val="333333"/>
          <w:sz w:val="23"/>
          <w:szCs w:val="23"/>
          <w:lang w:eastAsia="pt-BR"/>
        </w:rPr>
        <w:t>.</w:t>
      </w:r>
    </w:p>
    <w:p w14:paraId="49CE0C99" w14:textId="77777777" w:rsidR="00045E7E" w:rsidRPr="00045E7E" w:rsidRDefault="00045E7E" w:rsidP="00392874">
      <w:pPr>
        <w:pStyle w:val="PargrafodaLista"/>
        <w:jc w:val="both"/>
        <w:rPr>
          <w:rFonts w:ascii="Calibri" w:eastAsia="Times New Roman" w:hAnsi="Calibri" w:cs="Calibri"/>
          <w:color w:val="333333"/>
          <w:sz w:val="23"/>
          <w:szCs w:val="23"/>
          <w:lang w:eastAsia="pt-BR"/>
        </w:rPr>
      </w:pPr>
      <w:r w:rsidRPr="00045E7E">
        <w:rPr>
          <w:rFonts w:ascii="Calibri" w:eastAsia="Times New Roman" w:hAnsi="Calibri" w:cs="Calibri"/>
          <w:color w:val="333333"/>
          <w:sz w:val="23"/>
          <w:szCs w:val="23"/>
          <w:lang w:eastAsia="pt-BR"/>
        </w:rPr>
        <w:t>.</w:t>
      </w:r>
      <w:r w:rsidR="00BB44BF" w:rsidRPr="00045E7E">
        <w:rPr>
          <w:rFonts w:ascii="Calibri" w:eastAsia="Times New Roman" w:hAnsi="Calibri" w:cs="Calibri"/>
          <w:color w:val="333333"/>
          <w:sz w:val="23"/>
          <w:szCs w:val="23"/>
          <w:lang w:eastAsia="pt-BR"/>
        </w:rPr>
        <w:br/>
      </w:r>
      <w:r w:rsidR="009A6E47" w:rsidRPr="00045E7E">
        <w:rPr>
          <w:rFonts w:ascii="Calibri" w:eastAsia="Times New Roman" w:hAnsi="Calibri" w:cs="Calibri"/>
          <w:color w:val="333333"/>
          <w:sz w:val="23"/>
          <w:szCs w:val="23"/>
          <w:shd w:val="clear" w:color="auto" w:fill="FFFFFF"/>
          <w:lang w:eastAsia="pt-BR"/>
        </w:rPr>
        <w:t>VI - impedir novas ocupações irregulares ou clandestina</w:t>
      </w:r>
      <w:r>
        <w:rPr>
          <w:rFonts w:ascii="Calibri" w:eastAsia="Times New Roman" w:hAnsi="Calibri" w:cs="Calibri"/>
          <w:color w:val="333333"/>
          <w:sz w:val="23"/>
          <w:szCs w:val="23"/>
          <w:shd w:val="clear" w:color="auto" w:fill="FFFFFF"/>
          <w:lang w:eastAsia="pt-BR"/>
        </w:rPr>
        <w:t>s nas Macrozonas Urbana e Rural.</w:t>
      </w:r>
    </w:p>
    <w:p w14:paraId="4F7FD2EB" w14:textId="77777777" w:rsidR="00045E7E" w:rsidRDefault="00045E7E" w:rsidP="00392874">
      <w:pPr>
        <w:pStyle w:val="PargrafodaLista"/>
        <w:jc w:val="both"/>
        <w:rPr>
          <w:rFonts w:ascii="Calibri" w:eastAsia="Times New Roman" w:hAnsi="Calibri" w:cs="Calibri"/>
          <w:color w:val="333333"/>
          <w:sz w:val="23"/>
          <w:szCs w:val="23"/>
          <w:lang w:eastAsia="pt-BR"/>
        </w:rPr>
      </w:pPr>
    </w:p>
    <w:p w14:paraId="4CFBCF10" w14:textId="660FA0EE" w:rsidR="00292605" w:rsidRPr="00045E7E" w:rsidRDefault="00045E7E" w:rsidP="00392874">
      <w:pPr>
        <w:pStyle w:val="PargrafodaLista"/>
        <w:numPr>
          <w:ilvl w:val="0"/>
          <w:numId w:val="7"/>
        </w:numPr>
        <w:jc w:val="both"/>
        <w:rPr>
          <w:rFonts w:ascii="Calibri" w:eastAsia="Times New Roman" w:hAnsi="Calibri" w:cs="Calibri"/>
          <w:color w:val="333333"/>
          <w:sz w:val="23"/>
          <w:szCs w:val="23"/>
          <w:lang w:eastAsia="pt-BR"/>
        </w:rPr>
      </w:pPr>
      <w:r>
        <w:rPr>
          <w:rFonts w:ascii="Calibri" w:eastAsia="Times New Roman" w:hAnsi="Calibri" w:cs="Calibri"/>
          <w:color w:val="333333"/>
          <w:sz w:val="23"/>
          <w:szCs w:val="23"/>
          <w:lang w:eastAsia="pt-BR"/>
        </w:rPr>
        <w:t xml:space="preserve">Relativo ao Capitulo I – Do Macrozoneamento: </w:t>
      </w:r>
      <w:r w:rsidR="00292605" w:rsidRPr="00045E7E">
        <w:rPr>
          <w:rFonts w:ascii="Calibri" w:eastAsia="Times New Roman" w:hAnsi="Calibri" w:cs="Calibri"/>
          <w:color w:val="333333"/>
          <w:sz w:val="23"/>
          <w:szCs w:val="23"/>
          <w:lang w:eastAsia="pt-BR"/>
        </w:rPr>
        <w:t>Considerar</w:t>
      </w:r>
      <w:r w:rsidRPr="00045E7E">
        <w:rPr>
          <w:rFonts w:ascii="Calibri" w:eastAsia="Times New Roman" w:hAnsi="Calibri" w:cs="Calibri"/>
          <w:color w:val="333333"/>
          <w:sz w:val="23"/>
          <w:szCs w:val="23"/>
          <w:lang w:eastAsia="pt-BR"/>
        </w:rPr>
        <w:t xml:space="preserve"> os artigos de </w:t>
      </w:r>
      <w:r w:rsidR="00292605" w:rsidRPr="00045E7E">
        <w:rPr>
          <w:rFonts w:ascii="Calibri" w:eastAsia="Times New Roman" w:hAnsi="Calibri" w:cs="Calibri"/>
          <w:color w:val="333333"/>
          <w:sz w:val="23"/>
          <w:szCs w:val="23"/>
          <w:lang w:eastAsia="pt-BR"/>
        </w:rPr>
        <w:t xml:space="preserve"> 78 a 87 da Seção II- Das Zonas Especiais sem delimitação de Perímetro especifico e Subseção I – Da Zona Especial de Interesse Social (ZEIS) e </w:t>
      </w:r>
    </w:p>
    <w:p w14:paraId="00276499" w14:textId="77777777" w:rsidR="00292605" w:rsidRDefault="00292605" w:rsidP="00392874">
      <w:pPr>
        <w:pStyle w:val="PargrafodaLista"/>
        <w:jc w:val="both"/>
        <w:rPr>
          <w:rFonts w:ascii="Calibri" w:eastAsia="Times New Roman" w:hAnsi="Calibri" w:cs="Calibri"/>
          <w:color w:val="333333"/>
          <w:sz w:val="23"/>
          <w:szCs w:val="23"/>
          <w:lang w:eastAsia="pt-BR"/>
        </w:rPr>
      </w:pPr>
    </w:p>
    <w:p w14:paraId="0342E75A" w14:textId="37AC9AB8" w:rsidR="00E90D9E" w:rsidRDefault="00292605" w:rsidP="00392874">
      <w:pPr>
        <w:pStyle w:val="PargrafodaLista"/>
        <w:numPr>
          <w:ilvl w:val="0"/>
          <w:numId w:val="7"/>
        </w:numPr>
        <w:jc w:val="both"/>
        <w:rPr>
          <w:rFonts w:ascii="Calibri" w:eastAsia="Times New Roman" w:hAnsi="Calibri" w:cs="Calibri"/>
          <w:color w:val="333333"/>
          <w:sz w:val="23"/>
          <w:szCs w:val="23"/>
          <w:lang w:eastAsia="pt-BR"/>
        </w:rPr>
      </w:pPr>
      <w:r w:rsidRPr="00E90D9E">
        <w:rPr>
          <w:rFonts w:ascii="Calibri" w:eastAsia="Times New Roman" w:hAnsi="Calibri" w:cs="Calibri"/>
          <w:color w:val="333333"/>
          <w:sz w:val="23"/>
          <w:szCs w:val="23"/>
          <w:lang w:eastAsia="pt-BR"/>
        </w:rPr>
        <w:t>Re</w:t>
      </w:r>
      <w:r w:rsidR="00E90D9E">
        <w:rPr>
          <w:rFonts w:ascii="Calibri" w:eastAsia="Times New Roman" w:hAnsi="Calibri" w:cs="Calibri"/>
          <w:color w:val="333333"/>
          <w:sz w:val="23"/>
          <w:szCs w:val="23"/>
          <w:lang w:eastAsia="pt-BR"/>
        </w:rPr>
        <w:t xml:space="preserve">lativo ao </w:t>
      </w:r>
      <w:r w:rsidR="00E90D9E" w:rsidRPr="00E90D9E">
        <w:rPr>
          <w:rFonts w:ascii="Calibri" w:eastAsia="Times New Roman" w:hAnsi="Calibri" w:cs="Calibri"/>
          <w:b/>
          <w:color w:val="333333"/>
          <w:sz w:val="23"/>
          <w:szCs w:val="23"/>
          <w:lang w:eastAsia="pt-BR"/>
        </w:rPr>
        <w:t>artigo 80</w:t>
      </w:r>
      <w:r w:rsidR="00E90D9E">
        <w:rPr>
          <w:rFonts w:ascii="Calibri" w:eastAsia="Times New Roman" w:hAnsi="Calibri" w:cs="Calibri"/>
          <w:color w:val="333333"/>
          <w:sz w:val="23"/>
          <w:szCs w:val="23"/>
          <w:lang w:eastAsia="pt-BR"/>
        </w:rPr>
        <w:t>, voltar ao artigo original quando da aprovação do Plano Diretor em 2006, relativo a ZEIS:</w:t>
      </w:r>
    </w:p>
    <w:p w14:paraId="234ABE5A" w14:textId="77777777" w:rsidR="00E90D9E" w:rsidRPr="00E90D9E" w:rsidRDefault="00E90D9E" w:rsidP="00392874">
      <w:pPr>
        <w:pStyle w:val="PargrafodaLista"/>
        <w:jc w:val="both"/>
        <w:rPr>
          <w:rFonts w:ascii="Calibri" w:eastAsia="Times New Roman" w:hAnsi="Calibri" w:cs="Calibri"/>
          <w:color w:val="333333"/>
          <w:sz w:val="23"/>
          <w:szCs w:val="23"/>
          <w:lang w:eastAsia="pt-BR"/>
        </w:rPr>
      </w:pPr>
    </w:p>
    <w:p w14:paraId="7A3BD321" w14:textId="77777777" w:rsidR="00E90D9E" w:rsidRPr="008E5A68" w:rsidRDefault="00E90D9E" w:rsidP="00392874">
      <w:pPr>
        <w:ind w:firstLine="1440"/>
        <w:jc w:val="both"/>
        <w:rPr>
          <w:rFonts w:ascii="Calibri" w:hAnsi="Calibri"/>
        </w:rPr>
      </w:pPr>
      <w:r w:rsidRPr="008E5A68">
        <w:rPr>
          <w:rFonts w:ascii="Calibri" w:hAnsi="Calibri"/>
          <w:b/>
        </w:rPr>
        <w:lastRenderedPageBreak/>
        <w:t xml:space="preserve">Art. </w:t>
      </w:r>
      <w:smartTag w:uri="urn:schemas-microsoft-com:office:smarttags" w:element="metricconverter">
        <w:smartTagPr>
          <w:attr w:name="ProductID" w:val="80. A"/>
        </w:smartTagPr>
        <w:r w:rsidRPr="008E5A68">
          <w:rPr>
            <w:rFonts w:ascii="Calibri" w:hAnsi="Calibri"/>
            <w:b/>
          </w:rPr>
          <w:t>80.</w:t>
        </w:r>
        <w:r w:rsidRPr="008E5A68">
          <w:rPr>
            <w:rFonts w:ascii="Calibri" w:hAnsi="Calibri"/>
          </w:rPr>
          <w:t xml:space="preserve"> A</w:t>
        </w:r>
      </w:smartTag>
      <w:r w:rsidRPr="008E5A68">
        <w:rPr>
          <w:rFonts w:ascii="Calibri" w:hAnsi="Calibri"/>
        </w:rPr>
        <w:t xml:space="preserve"> delimitação da ZEIS deverá obedecer à classificação prevista no artigo anterior e será feita por lei municipal específica de iniciativa do Poder Executivo.</w:t>
      </w:r>
    </w:p>
    <w:p w14:paraId="641FA0C2" w14:textId="77777777" w:rsidR="00E90D9E" w:rsidRPr="008E5A68" w:rsidRDefault="00E90D9E" w:rsidP="00392874">
      <w:pPr>
        <w:ind w:firstLine="1440"/>
        <w:jc w:val="both"/>
        <w:rPr>
          <w:rFonts w:ascii="Calibri" w:hAnsi="Calibri"/>
        </w:rPr>
      </w:pPr>
    </w:p>
    <w:p w14:paraId="2C67116A" w14:textId="77777777" w:rsidR="00E90D9E" w:rsidRPr="008E5A68" w:rsidRDefault="00E90D9E" w:rsidP="00392874">
      <w:pPr>
        <w:ind w:firstLine="1440"/>
        <w:jc w:val="both"/>
        <w:rPr>
          <w:rFonts w:ascii="Calibri" w:hAnsi="Calibri"/>
        </w:rPr>
      </w:pPr>
      <w:r w:rsidRPr="008E5A68">
        <w:rPr>
          <w:rFonts w:ascii="Calibri" w:hAnsi="Calibri"/>
          <w:b/>
        </w:rPr>
        <w:t>§ 1º</w:t>
      </w:r>
      <w:r w:rsidRPr="008E5A68">
        <w:rPr>
          <w:rFonts w:ascii="Calibri" w:hAnsi="Calibri"/>
        </w:rPr>
        <w:t xml:space="preserve"> A delimitação da ZEIS 1 só será admitida nas áreas ocupadas por favelas e em loteamentos irregulares e clandestinos ocupados por população de baixa renda.</w:t>
      </w:r>
    </w:p>
    <w:p w14:paraId="0F0E977E" w14:textId="77777777" w:rsidR="00E90D9E" w:rsidRPr="008E5A68" w:rsidRDefault="00E90D9E" w:rsidP="00392874">
      <w:pPr>
        <w:pStyle w:val="PargrafodaLista"/>
        <w:jc w:val="both"/>
        <w:rPr>
          <w:rFonts w:ascii="Calibri" w:eastAsia="Times New Roman" w:hAnsi="Calibri" w:cs="Calibri"/>
          <w:color w:val="333333"/>
          <w:szCs w:val="23"/>
          <w:lang w:eastAsia="pt-BR"/>
        </w:rPr>
      </w:pPr>
    </w:p>
    <w:p w14:paraId="3DD6836E" w14:textId="77777777" w:rsidR="00E90D9E" w:rsidRPr="008E5A68" w:rsidRDefault="00E90D9E" w:rsidP="00392874">
      <w:pPr>
        <w:pStyle w:val="PargrafodaLista"/>
        <w:jc w:val="both"/>
        <w:rPr>
          <w:rFonts w:ascii="Calibri" w:eastAsia="Times New Roman" w:hAnsi="Calibri" w:cs="Calibri"/>
          <w:color w:val="333333"/>
          <w:szCs w:val="23"/>
          <w:lang w:eastAsia="pt-BR"/>
        </w:rPr>
      </w:pPr>
    </w:p>
    <w:p w14:paraId="1639EB32" w14:textId="1901DB5C" w:rsidR="00E90D9E" w:rsidRPr="008E5A68" w:rsidRDefault="00E90D9E" w:rsidP="00392874">
      <w:pPr>
        <w:pStyle w:val="PargrafodaLista"/>
        <w:numPr>
          <w:ilvl w:val="0"/>
          <w:numId w:val="7"/>
        </w:numPr>
        <w:jc w:val="both"/>
        <w:rPr>
          <w:rFonts w:ascii="Calibri" w:eastAsia="Times New Roman" w:hAnsi="Calibri" w:cs="Calibri"/>
          <w:color w:val="333333"/>
          <w:szCs w:val="23"/>
          <w:lang w:eastAsia="pt-BR"/>
        </w:rPr>
      </w:pPr>
      <w:r w:rsidRPr="008E5A68">
        <w:rPr>
          <w:rFonts w:ascii="Calibri" w:eastAsia="Times New Roman" w:hAnsi="Calibri" w:cs="Calibri"/>
          <w:color w:val="333333"/>
          <w:szCs w:val="23"/>
          <w:lang w:eastAsia="pt-BR"/>
        </w:rPr>
        <w:t xml:space="preserve">Alterar  o </w:t>
      </w:r>
      <w:r w:rsidRPr="008E5A68">
        <w:rPr>
          <w:rFonts w:ascii="Calibri" w:eastAsia="Times New Roman" w:hAnsi="Calibri" w:cs="Calibri"/>
          <w:b/>
          <w:color w:val="333333"/>
          <w:szCs w:val="23"/>
          <w:lang w:eastAsia="pt-BR"/>
        </w:rPr>
        <w:t>artigo 80</w:t>
      </w:r>
      <w:r w:rsidRPr="008E5A68">
        <w:rPr>
          <w:rFonts w:ascii="Calibri" w:eastAsia="Times New Roman" w:hAnsi="Calibri" w:cs="Calibri"/>
          <w:color w:val="333333"/>
          <w:szCs w:val="23"/>
          <w:lang w:eastAsia="pt-BR"/>
        </w:rPr>
        <w:t xml:space="preserve"> no que diz respeito a instituição de ZEIS 2 nas ZOR, ZOCIE e ZOCFA, podendo instituir ZEIS2 apenas nas ZAP e ZAZ, assim:</w:t>
      </w:r>
    </w:p>
    <w:p w14:paraId="470099B5" w14:textId="77777777" w:rsidR="00E90D9E" w:rsidRPr="008E5A68" w:rsidRDefault="00E90D9E" w:rsidP="00392874">
      <w:pPr>
        <w:pStyle w:val="PargrafodaLista"/>
        <w:jc w:val="both"/>
        <w:rPr>
          <w:rFonts w:ascii="Calibri" w:eastAsia="Times New Roman" w:hAnsi="Calibri" w:cs="Calibri"/>
          <w:color w:val="333333"/>
          <w:szCs w:val="23"/>
          <w:lang w:eastAsia="pt-BR"/>
        </w:rPr>
      </w:pPr>
    </w:p>
    <w:p w14:paraId="1FE15FED" w14:textId="5A819031" w:rsidR="004C6BB6" w:rsidRPr="008E5A68" w:rsidRDefault="004C6BB6" w:rsidP="00392874">
      <w:pPr>
        <w:widowControl w:val="0"/>
        <w:ind w:firstLine="1418"/>
        <w:jc w:val="both"/>
        <w:rPr>
          <w:rFonts w:ascii="Calibri" w:hAnsi="Calibri"/>
        </w:rPr>
      </w:pPr>
      <w:r w:rsidRPr="008E5A68">
        <w:rPr>
          <w:rFonts w:ascii="Calibri" w:hAnsi="Calibri"/>
          <w:b/>
        </w:rPr>
        <w:t xml:space="preserve">Art. </w:t>
      </w:r>
      <w:smartTag w:uri="urn:schemas-microsoft-com:office:smarttags" w:element="metricconverter">
        <w:smartTagPr>
          <w:attr w:name="ProductID" w:val="80. A"/>
        </w:smartTagPr>
        <w:r w:rsidRPr="008E5A68">
          <w:rPr>
            <w:rFonts w:ascii="Calibri" w:hAnsi="Calibri"/>
            <w:b/>
          </w:rPr>
          <w:t>80.</w:t>
        </w:r>
        <w:r w:rsidRPr="008E5A68">
          <w:rPr>
            <w:rFonts w:ascii="Calibri" w:hAnsi="Calibri"/>
          </w:rPr>
          <w:t xml:space="preserve"> A</w:t>
        </w:r>
      </w:smartTag>
      <w:r w:rsidRPr="008E5A68">
        <w:rPr>
          <w:rFonts w:ascii="Calibri" w:hAnsi="Calibri"/>
        </w:rPr>
        <w:t xml:space="preserve"> implantação de ZEIS 2 somente será admitida nas Zonas de Adensamento Prioritário e Secundário (ZAP e ZAS) </w:t>
      </w:r>
      <w:r w:rsidRPr="008E5A68">
        <w:rPr>
          <w:rFonts w:ascii="Calibri" w:hAnsi="Calibri"/>
          <w:strike/>
        </w:rPr>
        <w:t>e nas Zonas de Ocupação Restrita, Controlada por Infraestrutura e por Fragilidade Ambiental (ZOR, ZOCIE e ZOCFA),</w:t>
      </w:r>
      <w:r w:rsidRPr="008E5A68">
        <w:rPr>
          <w:rFonts w:ascii="Calibri" w:hAnsi="Calibri"/>
        </w:rPr>
        <w:t xml:space="preserve"> em imóveis não edificados, subutilizados ou não utilizados, com infraestrutura urbana ou a ser implantada </w:t>
      </w:r>
      <w:r w:rsidRPr="008E5A68">
        <w:rPr>
          <w:rFonts w:ascii="Calibri" w:hAnsi="Calibri"/>
          <w:strike/>
        </w:rPr>
        <w:t>pela Administração Pública.</w:t>
      </w:r>
      <w:r w:rsidRPr="008E5A68">
        <w:rPr>
          <w:rFonts w:ascii="Calibri" w:hAnsi="Calibri"/>
        </w:rPr>
        <w:t xml:space="preserve"> </w:t>
      </w:r>
      <w:hyperlink r:id="rId8" w:anchor="A2" w:tooltip="LC Nº 222/08" w:history="1">
        <w:r w:rsidRPr="008E5A68">
          <w:rPr>
            <w:rStyle w:val="Hyperlink"/>
            <w:rFonts w:ascii="Calibri" w:hAnsi="Calibri"/>
          </w:rPr>
          <w:t>(Redação dada pela Lei Complementar nº 222, de 26/09/08)</w:t>
        </w:r>
      </w:hyperlink>
    </w:p>
    <w:p w14:paraId="5B849CAE" w14:textId="77777777" w:rsidR="00AD5205" w:rsidRPr="008E5A68" w:rsidRDefault="00AD5205" w:rsidP="00392874">
      <w:pPr>
        <w:pStyle w:val="PargrafodaLista"/>
        <w:jc w:val="both"/>
        <w:rPr>
          <w:rFonts w:ascii="Calibri" w:eastAsia="Times New Roman" w:hAnsi="Calibri" w:cs="Calibri"/>
          <w:color w:val="333333"/>
          <w:szCs w:val="23"/>
          <w:lang w:eastAsia="pt-BR"/>
        </w:rPr>
      </w:pPr>
    </w:p>
    <w:p w14:paraId="7271DED5" w14:textId="1D2C900F" w:rsidR="00292605" w:rsidRPr="008E5A68" w:rsidRDefault="00722EEF" w:rsidP="00392874">
      <w:pPr>
        <w:pStyle w:val="PargrafodaLista"/>
        <w:numPr>
          <w:ilvl w:val="0"/>
          <w:numId w:val="7"/>
        </w:numPr>
        <w:jc w:val="both"/>
        <w:rPr>
          <w:rFonts w:ascii="Calibri" w:hAnsi="Calibri"/>
        </w:rPr>
      </w:pPr>
      <w:r w:rsidRPr="008E5A68">
        <w:rPr>
          <w:rFonts w:ascii="Calibri" w:hAnsi="Calibri"/>
        </w:rPr>
        <w:t>C</w:t>
      </w:r>
      <w:r w:rsidR="00292605" w:rsidRPr="008E5A68">
        <w:rPr>
          <w:rFonts w:ascii="Calibri" w:hAnsi="Calibri"/>
        </w:rPr>
        <w:t xml:space="preserve">onsiderar </w:t>
      </w:r>
      <w:r w:rsidRPr="008E5A68">
        <w:rPr>
          <w:rFonts w:ascii="Calibri" w:hAnsi="Calibri"/>
        </w:rPr>
        <w:t xml:space="preserve">os artigos de </w:t>
      </w:r>
      <w:r w:rsidR="00292605" w:rsidRPr="008E5A68">
        <w:rPr>
          <w:rFonts w:ascii="Calibri" w:hAnsi="Calibri"/>
        </w:rPr>
        <w:t>98 a 103 da Seção IV – Da Zona Especial de Urbanização Especifica (ZEUE)</w:t>
      </w:r>
      <w:r w:rsidRPr="008E5A68">
        <w:rPr>
          <w:rFonts w:ascii="Calibri" w:hAnsi="Calibri"/>
        </w:rPr>
        <w:t>, porem o I</w:t>
      </w:r>
      <w:r w:rsidR="00292605" w:rsidRPr="008E5A68">
        <w:rPr>
          <w:rFonts w:ascii="Calibri" w:hAnsi="Calibri"/>
        </w:rPr>
        <w:t xml:space="preserve">nciso I, do artigo 99 – ZEUE 1 – considerar </w:t>
      </w:r>
      <w:r w:rsidRPr="008E5A68">
        <w:rPr>
          <w:rFonts w:ascii="Calibri" w:hAnsi="Calibri"/>
        </w:rPr>
        <w:t xml:space="preserve">a data de implantação </w:t>
      </w:r>
      <w:r w:rsidR="003523CF" w:rsidRPr="008E5A68">
        <w:rPr>
          <w:rFonts w:ascii="Calibri" w:hAnsi="Calibri"/>
        </w:rPr>
        <w:t>até</w:t>
      </w:r>
      <w:r w:rsidR="00292605" w:rsidRPr="008E5A68">
        <w:rPr>
          <w:rFonts w:ascii="Calibri" w:hAnsi="Calibri"/>
        </w:rPr>
        <w:t xml:space="preserve"> dezembro de 2016</w:t>
      </w:r>
      <w:r w:rsidRPr="008E5A68">
        <w:rPr>
          <w:rFonts w:ascii="Calibri" w:hAnsi="Calibri"/>
        </w:rPr>
        <w:t>, devido a nov</w:t>
      </w:r>
      <w:r w:rsidR="00B63937" w:rsidRPr="008E5A68">
        <w:rPr>
          <w:rFonts w:ascii="Calibri" w:hAnsi="Calibri"/>
        </w:rPr>
        <w:t>a legislação federal 13465/2017, assim:</w:t>
      </w:r>
    </w:p>
    <w:p w14:paraId="07C00E37" w14:textId="77777777" w:rsidR="00E123A4" w:rsidRPr="008E5A68" w:rsidRDefault="00E123A4" w:rsidP="00392874">
      <w:pPr>
        <w:jc w:val="both"/>
        <w:rPr>
          <w:rFonts w:ascii="Calibri" w:hAnsi="Calibri"/>
        </w:rPr>
      </w:pPr>
    </w:p>
    <w:p w14:paraId="502B7B77" w14:textId="77777777" w:rsidR="00B63937" w:rsidRPr="008E5A68" w:rsidRDefault="00B63937" w:rsidP="00392874">
      <w:pPr>
        <w:ind w:firstLine="1440"/>
        <w:jc w:val="both"/>
        <w:rPr>
          <w:rFonts w:ascii="Calibri" w:hAnsi="Calibri"/>
        </w:rPr>
      </w:pPr>
      <w:r w:rsidRPr="008E5A68">
        <w:rPr>
          <w:rFonts w:ascii="Calibri" w:hAnsi="Calibri"/>
          <w:b/>
        </w:rPr>
        <w:t xml:space="preserve">Art. </w:t>
      </w:r>
      <w:smartTag w:uri="urn:schemas-microsoft-com:office:smarttags" w:element="metricconverter">
        <w:smartTagPr>
          <w:attr w:name="ProductID" w:val="99. A"/>
        </w:smartTagPr>
        <w:r w:rsidRPr="008E5A68">
          <w:rPr>
            <w:rFonts w:ascii="Calibri" w:hAnsi="Calibri"/>
            <w:b/>
          </w:rPr>
          <w:t>99.</w:t>
        </w:r>
        <w:r w:rsidRPr="008E5A68">
          <w:rPr>
            <w:rFonts w:ascii="Calibri" w:hAnsi="Calibri"/>
          </w:rPr>
          <w:t xml:space="preserve"> A</w:t>
        </w:r>
      </w:smartTag>
      <w:r w:rsidRPr="008E5A68">
        <w:rPr>
          <w:rFonts w:ascii="Calibri" w:hAnsi="Calibri"/>
        </w:rPr>
        <w:t xml:space="preserve"> Zona Especial de Urbanização Específica (ZEUE) pode ser classificada nas seguintes categorias:</w:t>
      </w:r>
    </w:p>
    <w:p w14:paraId="2F2C5887" w14:textId="77777777" w:rsidR="00B63937" w:rsidRPr="008E5A68" w:rsidRDefault="00B63937" w:rsidP="00392874">
      <w:pPr>
        <w:ind w:firstLine="1440"/>
        <w:jc w:val="both"/>
        <w:rPr>
          <w:rFonts w:ascii="Calibri" w:hAnsi="Calibri"/>
          <w:b/>
        </w:rPr>
      </w:pPr>
    </w:p>
    <w:p w14:paraId="534CF3C8" w14:textId="0E281817" w:rsidR="00B63937" w:rsidRPr="008E5A68" w:rsidRDefault="00B63937" w:rsidP="00392874">
      <w:pPr>
        <w:ind w:firstLine="1440"/>
        <w:jc w:val="both"/>
        <w:rPr>
          <w:rFonts w:ascii="Calibri" w:hAnsi="Calibri"/>
        </w:rPr>
      </w:pPr>
      <w:r w:rsidRPr="008E5A68">
        <w:rPr>
          <w:rFonts w:ascii="Calibri" w:hAnsi="Calibri"/>
          <w:b/>
        </w:rPr>
        <w:t>I -</w:t>
      </w:r>
      <w:r w:rsidRPr="008E5A68">
        <w:rPr>
          <w:rFonts w:ascii="Calibri" w:hAnsi="Calibri"/>
        </w:rPr>
        <w:t xml:space="preserve"> ZEUE 1 – são áreas localizadas na Macrozona Rural, ocupadas por loteamentos clandestinos, implantados </w:t>
      </w:r>
      <w:r w:rsidRPr="008E5A68">
        <w:rPr>
          <w:rFonts w:ascii="Calibri" w:hAnsi="Calibri"/>
          <w:strike/>
        </w:rPr>
        <w:t>até o ano de 2.000</w:t>
      </w:r>
      <w:r w:rsidRPr="008E5A68">
        <w:rPr>
          <w:rFonts w:ascii="Calibri" w:hAnsi="Calibri"/>
        </w:rPr>
        <w:t>, até dezembro de 2016,  tendo como objetivo a regularização fundiária e urbanística desses empreendimentos nos órgãos competentes;</w:t>
      </w:r>
    </w:p>
    <w:p w14:paraId="4A311719" w14:textId="77777777" w:rsidR="00B63937" w:rsidRPr="008E5A68" w:rsidRDefault="00B63937" w:rsidP="00392874">
      <w:pPr>
        <w:ind w:firstLine="1440"/>
        <w:jc w:val="both"/>
        <w:rPr>
          <w:rFonts w:ascii="Calibri" w:hAnsi="Calibri"/>
        </w:rPr>
      </w:pPr>
    </w:p>
    <w:p w14:paraId="160ECA17" w14:textId="77777777" w:rsidR="00CF7CBE" w:rsidRPr="008E5A68" w:rsidRDefault="00CF7CBE" w:rsidP="00392874">
      <w:pPr>
        <w:ind w:firstLine="1440"/>
        <w:jc w:val="both"/>
        <w:rPr>
          <w:rFonts w:ascii="Calibri" w:hAnsi="Calibri"/>
        </w:rPr>
      </w:pPr>
    </w:p>
    <w:p w14:paraId="132C1C1D" w14:textId="507585A6" w:rsidR="004235DB" w:rsidRPr="008E5A68" w:rsidRDefault="004235DB" w:rsidP="00392874">
      <w:pPr>
        <w:shd w:val="clear" w:color="auto" w:fill="FFFFFF"/>
        <w:spacing w:after="240"/>
        <w:ind w:firstLine="1418"/>
        <w:jc w:val="both"/>
        <w:rPr>
          <w:rFonts w:ascii="Calibri" w:hAnsi="Calibri" w:cs="Arial"/>
          <w:b/>
          <w:color w:val="000000" w:themeColor="text1"/>
          <w:u w:val="single"/>
        </w:rPr>
      </w:pPr>
      <w:r w:rsidRPr="008E5A68">
        <w:rPr>
          <w:rFonts w:ascii="Calibri" w:hAnsi="Calibri" w:cs="Arial"/>
          <w:b/>
          <w:color w:val="000000" w:themeColor="text1"/>
          <w:u w:val="single"/>
        </w:rPr>
        <w:t xml:space="preserve">Sugestões </w:t>
      </w:r>
      <w:r w:rsidR="008E5A68">
        <w:rPr>
          <w:rFonts w:ascii="Calibri" w:hAnsi="Calibri" w:cs="Arial"/>
          <w:b/>
          <w:color w:val="000000" w:themeColor="text1"/>
          <w:u w:val="single"/>
        </w:rPr>
        <w:t xml:space="preserve">gerais </w:t>
      </w:r>
      <w:r w:rsidRPr="008E5A68">
        <w:rPr>
          <w:rFonts w:ascii="Calibri" w:hAnsi="Calibri" w:cs="Arial"/>
          <w:b/>
          <w:color w:val="000000" w:themeColor="text1"/>
          <w:u w:val="single"/>
        </w:rPr>
        <w:t>para</w:t>
      </w:r>
      <w:r w:rsidR="00CF7CBE" w:rsidRPr="008E5A68">
        <w:rPr>
          <w:rFonts w:ascii="Calibri" w:hAnsi="Calibri" w:cs="Arial"/>
          <w:b/>
          <w:color w:val="000000" w:themeColor="text1"/>
          <w:u w:val="single"/>
        </w:rPr>
        <w:t xml:space="preserve"> viabilização </w:t>
      </w:r>
      <w:r w:rsidR="008E5A68" w:rsidRPr="008E5A68">
        <w:rPr>
          <w:rFonts w:ascii="Calibri" w:hAnsi="Calibri" w:cs="Arial"/>
          <w:b/>
          <w:color w:val="000000" w:themeColor="text1"/>
          <w:u w:val="single"/>
        </w:rPr>
        <w:t>dos Processos</w:t>
      </w:r>
      <w:r w:rsidR="00CF7CBE" w:rsidRPr="008E5A68">
        <w:rPr>
          <w:rFonts w:ascii="Calibri" w:hAnsi="Calibri" w:cs="Arial"/>
          <w:b/>
          <w:color w:val="000000" w:themeColor="text1"/>
          <w:u w:val="single"/>
        </w:rPr>
        <w:t xml:space="preserve"> de Regularização F</w:t>
      </w:r>
      <w:r w:rsidRPr="008E5A68">
        <w:rPr>
          <w:rFonts w:ascii="Calibri" w:hAnsi="Calibri" w:cs="Arial"/>
          <w:b/>
          <w:color w:val="000000" w:themeColor="text1"/>
          <w:u w:val="single"/>
        </w:rPr>
        <w:t xml:space="preserve">undiária </w:t>
      </w:r>
    </w:p>
    <w:p w14:paraId="24E3B3E3" w14:textId="72A915B9" w:rsidR="004235DB" w:rsidRPr="008E5A68" w:rsidRDefault="004235DB" w:rsidP="00392874">
      <w:pPr>
        <w:shd w:val="clear" w:color="auto" w:fill="FFFFFF"/>
        <w:spacing w:after="240"/>
        <w:ind w:firstLine="1418"/>
        <w:jc w:val="both"/>
        <w:rPr>
          <w:rFonts w:ascii="Calibri" w:hAnsi="Calibri" w:cs="Arial"/>
          <w:color w:val="000000" w:themeColor="text1"/>
        </w:rPr>
      </w:pPr>
      <w:r w:rsidRPr="008E5A68">
        <w:rPr>
          <w:rFonts w:ascii="Calibri" w:hAnsi="Calibri" w:cs="Arial"/>
          <w:color w:val="000000" w:themeColor="text1"/>
        </w:rPr>
        <w:t xml:space="preserve">Tendo em vista </w:t>
      </w:r>
      <w:r w:rsidR="00432C0C" w:rsidRPr="008E5A68">
        <w:rPr>
          <w:rFonts w:ascii="Calibri" w:hAnsi="Calibri" w:cs="Arial"/>
          <w:color w:val="000000" w:themeColor="text1"/>
        </w:rPr>
        <w:t xml:space="preserve">a proporção que o assunto tomou no município, ou seja, mais de 50 núcleos de interesse social e aproximadamente 150 de interesse </w:t>
      </w:r>
      <w:r w:rsidR="00570DEE" w:rsidRPr="008E5A68">
        <w:rPr>
          <w:rFonts w:ascii="Calibri" w:hAnsi="Calibri" w:cs="Arial"/>
          <w:color w:val="000000" w:themeColor="text1"/>
        </w:rPr>
        <w:t>especifico é</w:t>
      </w:r>
      <w:r w:rsidR="00432C0C" w:rsidRPr="008E5A68">
        <w:rPr>
          <w:rFonts w:ascii="Calibri" w:hAnsi="Calibri" w:cs="Arial"/>
          <w:color w:val="000000" w:themeColor="text1"/>
        </w:rPr>
        <w:t xml:space="preserve"> importante </w:t>
      </w:r>
      <w:r w:rsidR="00570DEE" w:rsidRPr="008E5A68">
        <w:rPr>
          <w:rFonts w:ascii="Calibri" w:hAnsi="Calibri" w:cs="Arial"/>
          <w:color w:val="000000" w:themeColor="text1"/>
        </w:rPr>
        <w:t>cons</w:t>
      </w:r>
      <w:r w:rsidR="009D2DF2" w:rsidRPr="008E5A68">
        <w:rPr>
          <w:rFonts w:ascii="Calibri" w:hAnsi="Calibri" w:cs="Arial"/>
          <w:color w:val="000000" w:themeColor="text1"/>
        </w:rPr>
        <w:t>iderar uma estrutura técnica – administrativa especifica</w:t>
      </w:r>
      <w:r w:rsidR="00442958" w:rsidRPr="008E5A68">
        <w:rPr>
          <w:rFonts w:ascii="Calibri" w:hAnsi="Calibri" w:cs="Arial"/>
          <w:color w:val="000000" w:themeColor="text1"/>
        </w:rPr>
        <w:t xml:space="preserve"> para tratar destes processos</w:t>
      </w:r>
      <w:r w:rsidR="009D2DF2" w:rsidRPr="008E5A68">
        <w:rPr>
          <w:rFonts w:ascii="Calibri" w:hAnsi="Calibri" w:cs="Arial"/>
          <w:color w:val="000000" w:themeColor="text1"/>
        </w:rPr>
        <w:t xml:space="preserve">, </w:t>
      </w:r>
      <w:r w:rsidR="00442958" w:rsidRPr="008E5A68">
        <w:rPr>
          <w:rFonts w:ascii="Calibri" w:hAnsi="Calibri" w:cs="Arial"/>
          <w:color w:val="000000" w:themeColor="text1"/>
        </w:rPr>
        <w:t xml:space="preserve">através de </w:t>
      </w:r>
      <w:r w:rsidR="009D2DF2" w:rsidRPr="008E5A68">
        <w:rPr>
          <w:rFonts w:ascii="Calibri" w:hAnsi="Calibri" w:cs="Arial"/>
          <w:color w:val="000000" w:themeColor="text1"/>
        </w:rPr>
        <w:t xml:space="preserve">departamento, ou coordenadoria, </w:t>
      </w:r>
      <w:r w:rsidR="00442958" w:rsidRPr="008E5A68">
        <w:rPr>
          <w:rFonts w:ascii="Calibri" w:hAnsi="Calibri" w:cs="Arial"/>
          <w:color w:val="000000" w:themeColor="text1"/>
        </w:rPr>
        <w:t>seja dentro da EMDHAP – Empresa Municipal de Desenvolvimento Habitacional de Piracicaba, conforme já consta na Lei Municipal 6246/ 2008, ou em outro órgão</w:t>
      </w:r>
      <w:r w:rsidR="00036E5F" w:rsidRPr="008E5A68">
        <w:rPr>
          <w:rFonts w:ascii="Calibri" w:hAnsi="Calibri" w:cs="Arial"/>
          <w:color w:val="000000" w:themeColor="text1"/>
        </w:rPr>
        <w:t>, secretaria municipal;</w:t>
      </w:r>
    </w:p>
    <w:p w14:paraId="2555D7EF" w14:textId="0E9B92D1" w:rsidR="006B7146" w:rsidRPr="008E5A68" w:rsidRDefault="006B7146" w:rsidP="00392874">
      <w:pPr>
        <w:shd w:val="clear" w:color="auto" w:fill="FFFFFF"/>
        <w:spacing w:after="240"/>
        <w:jc w:val="both"/>
        <w:rPr>
          <w:rFonts w:ascii="Calibri" w:hAnsi="Calibri" w:cs="Arial"/>
          <w:color w:val="000000" w:themeColor="text1"/>
        </w:rPr>
      </w:pPr>
      <w:r w:rsidRPr="008E5A68">
        <w:rPr>
          <w:rFonts w:ascii="Calibri" w:hAnsi="Calibri" w:cs="Arial"/>
          <w:color w:val="000000" w:themeColor="text1"/>
        </w:rPr>
        <w:t xml:space="preserve">a) </w:t>
      </w:r>
      <w:r w:rsidR="00036E5F" w:rsidRPr="008E5A68">
        <w:rPr>
          <w:rFonts w:ascii="Calibri" w:hAnsi="Calibri" w:cs="Arial"/>
          <w:color w:val="000000" w:themeColor="text1"/>
        </w:rPr>
        <w:t xml:space="preserve">Elaborar um Plano Municipal de Regularização Fundiária, com metas, prazos, recursos bem definidos para cada núcleo; </w:t>
      </w:r>
    </w:p>
    <w:p w14:paraId="4645D761" w14:textId="77777777" w:rsidR="006B7146" w:rsidRPr="008E5A68" w:rsidRDefault="0096398B" w:rsidP="00392874">
      <w:pPr>
        <w:shd w:val="clear" w:color="auto" w:fill="FFFFFF"/>
        <w:spacing w:after="240"/>
        <w:jc w:val="both"/>
        <w:rPr>
          <w:rFonts w:ascii="Calibri" w:hAnsi="Calibri" w:cs="Arial"/>
          <w:color w:val="000000" w:themeColor="text1"/>
        </w:rPr>
      </w:pPr>
      <w:r w:rsidRPr="008E5A68">
        <w:rPr>
          <w:rFonts w:ascii="Calibri" w:hAnsi="Calibri" w:cs="Arial"/>
          <w:color w:val="000000" w:themeColor="text1"/>
        </w:rPr>
        <w:t xml:space="preserve">b) </w:t>
      </w:r>
      <w:r w:rsidRPr="008E5A68">
        <w:rPr>
          <w:rFonts w:ascii="Calibri" w:hAnsi="Calibri" w:cs="Arial"/>
          <w:szCs w:val="26"/>
        </w:rPr>
        <w:t xml:space="preserve"> </w:t>
      </w:r>
      <w:r w:rsidR="00C32A47" w:rsidRPr="008E5A68">
        <w:rPr>
          <w:rFonts w:ascii="Calibri" w:hAnsi="Calibri" w:cs="Arial"/>
          <w:szCs w:val="26"/>
        </w:rPr>
        <w:t xml:space="preserve">A </w:t>
      </w:r>
      <w:r w:rsidRPr="008E5A68">
        <w:rPr>
          <w:rFonts w:ascii="Calibri" w:hAnsi="Calibri" w:cs="Arial"/>
          <w:szCs w:val="26"/>
        </w:rPr>
        <w:t>Regularização de</w:t>
      </w:r>
      <w:r w:rsidR="00C32A47" w:rsidRPr="008E5A68">
        <w:rPr>
          <w:rFonts w:ascii="Calibri" w:hAnsi="Calibri" w:cs="Arial"/>
          <w:szCs w:val="26"/>
        </w:rPr>
        <w:t>ve ser de maneira</w:t>
      </w:r>
      <w:r w:rsidRPr="008E5A68">
        <w:rPr>
          <w:rFonts w:ascii="Calibri" w:hAnsi="Calibri" w:cs="Arial"/>
          <w:szCs w:val="26"/>
        </w:rPr>
        <w:t xml:space="preserve"> diferenciada para núcleos de interesse social e núcleos de inte</w:t>
      </w:r>
      <w:r w:rsidR="00C32A47" w:rsidRPr="008E5A68">
        <w:rPr>
          <w:rFonts w:ascii="Calibri" w:hAnsi="Calibri" w:cs="Arial"/>
          <w:szCs w:val="26"/>
        </w:rPr>
        <w:t xml:space="preserve">resse específicos (considerando </w:t>
      </w:r>
      <w:r w:rsidRPr="008E5A68">
        <w:rPr>
          <w:rFonts w:ascii="Calibri" w:hAnsi="Calibri" w:cs="Arial"/>
          <w:szCs w:val="26"/>
        </w:rPr>
        <w:t>quem elabora os projetos, quem executa obras, etc...);</w:t>
      </w:r>
    </w:p>
    <w:p w14:paraId="43896FE1" w14:textId="33BEEED0" w:rsidR="0096398B" w:rsidRPr="008E5A68" w:rsidRDefault="00C32A47" w:rsidP="00392874">
      <w:pPr>
        <w:shd w:val="clear" w:color="auto" w:fill="FFFFFF"/>
        <w:spacing w:after="240"/>
        <w:jc w:val="both"/>
        <w:rPr>
          <w:rFonts w:ascii="Calibri" w:hAnsi="Calibri" w:cs="Arial"/>
          <w:color w:val="000000" w:themeColor="text1"/>
        </w:rPr>
      </w:pPr>
      <w:r w:rsidRPr="008E5A68">
        <w:rPr>
          <w:rFonts w:ascii="Calibri" w:hAnsi="Calibri" w:cs="Arial"/>
          <w:szCs w:val="26"/>
        </w:rPr>
        <w:t xml:space="preserve">c) </w:t>
      </w:r>
      <w:r w:rsidR="0096398B" w:rsidRPr="008E5A68">
        <w:rPr>
          <w:rFonts w:ascii="Calibri" w:hAnsi="Calibri" w:cs="Arial"/>
          <w:szCs w:val="26"/>
        </w:rPr>
        <w:t>Nos casos de interesse social tratar/ incluir com</w:t>
      </w:r>
      <w:r w:rsidR="00841151" w:rsidRPr="008E5A68">
        <w:rPr>
          <w:rFonts w:ascii="Calibri" w:hAnsi="Calibri" w:cs="Arial"/>
          <w:szCs w:val="26"/>
        </w:rPr>
        <w:t>o Política Pública de H</w:t>
      </w:r>
      <w:r w:rsidRPr="008E5A68">
        <w:rPr>
          <w:rFonts w:ascii="Calibri" w:hAnsi="Calibri" w:cs="Arial"/>
          <w:szCs w:val="26"/>
        </w:rPr>
        <w:t xml:space="preserve">abitação, </w:t>
      </w:r>
      <w:r w:rsidR="0096398B" w:rsidRPr="008E5A68">
        <w:rPr>
          <w:rFonts w:ascii="Calibri" w:hAnsi="Calibri" w:cs="Arial"/>
          <w:szCs w:val="26"/>
        </w:rPr>
        <w:t xml:space="preserve">com desenho </w:t>
      </w:r>
      <w:r w:rsidRPr="008E5A68">
        <w:rPr>
          <w:rFonts w:ascii="Calibri" w:hAnsi="Calibri" w:cs="Arial"/>
          <w:szCs w:val="26"/>
        </w:rPr>
        <w:t xml:space="preserve">urbano e ambiental adequado, inserindo-os </w:t>
      </w:r>
      <w:r w:rsidR="0096398B" w:rsidRPr="008E5A68">
        <w:rPr>
          <w:rFonts w:ascii="Calibri" w:hAnsi="Calibri" w:cs="Arial"/>
          <w:szCs w:val="26"/>
        </w:rPr>
        <w:t>de fato esta comunidade à cidade formal;</w:t>
      </w:r>
    </w:p>
    <w:p w14:paraId="2279A7D9" w14:textId="269550B5" w:rsidR="004235DB" w:rsidRPr="008E5A68" w:rsidRDefault="00C32A47" w:rsidP="00392874">
      <w:pPr>
        <w:shd w:val="clear" w:color="auto" w:fill="FFFFFF"/>
        <w:spacing w:after="195" w:line="360" w:lineRule="auto"/>
        <w:jc w:val="both"/>
        <w:textAlignment w:val="baseline"/>
        <w:rPr>
          <w:rFonts w:ascii="Calibri" w:hAnsi="Calibri" w:cs="Arial"/>
          <w:szCs w:val="26"/>
        </w:rPr>
      </w:pPr>
      <w:r w:rsidRPr="008E5A68">
        <w:rPr>
          <w:rFonts w:ascii="Calibri" w:hAnsi="Calibri" w:cs="Arial"/>
          <w:szCs w:val="26"/>
        </w:rPr>
        <w:lastRenderedPageBreak/>
        <w:t>d)</w:t>
      </w:r>
      <w:r w:rsidR="00654398" w:rsidRPr="008E5A68">
        <w:rPr>
          <w:rFonts w:ascii="Calibri" w:hAnsi="Calibri" w:cs="Arial"/>
          <w:szCs w:val="26"/>
        </w:rPr>
        <w:t xml:space="preserve"> </w:t>
      </w:r>
      <w:r w:rsidR="00CF7CBE" w:rsidRPr="008E5A68">
        <w:rPr>
          <w:rFonts w:ascii="Calibri" w:hAnsi="Calibri" w:cs="Arial"/>
          <w:szCs w:val="26"/>
        </w:rPr>
        <w:t>Elaborar um Plano de R</w:t>
      </w:r>
      <w:r w:rsidR="004235DB" w:rsidRPr="008E5A68">
        <w:rPr>
          <w:rFonts w:ascii="Calibri" w:hAnsi="Calibri" w:cs="Arial"/>
          <w:szCs w:val="26"/>
        </w:rPr>
        <w:t>egularização para cada área</w:t>
      </w:r>
      <w:r w:rsidR="00654398" w:rsidRPr="008E5A68">
        <w:rPr>
          <w:rFonts w:ascii="Calibri" w:hAnsi="Calibri" w:cs="Arial"/>
          <w:szCs w:val="26"/>
        </w:rPr>
        <w:t xml:space="preserve"> de interesse social (que deve ser implementado pelo poder </w:t>
      </w:r>
      <w:r w:rsidR="00111469" w:rsidRPr="008E5A68">
        <w:rPr>
          <w:rFonts w:ascii="Calibri" w:hAnsi="Calibri" w:cs="Arial"/>
          <w:szCs w:val="26"/>
        </w:rPr>
        <w:t>público</w:t>
      </w:r>
      <w:r w:rsidR="00654398" w:rsidRPr="008E5A68">
        <w:rPr>
          <w:rFonts w:ascii="Calibri" w:hAnsi="Calibri" w:cs="Arial"/>
          <w:szCs w:val="26"/>
        </w:rPr>
        <w:t>)</w:t>
      </w:r>
      <w:r w:rsidR="004235DB" w:rsidRPr="008E5A68">
        <w:rPr>
          <w:rFonts w:ascii="Calibri" w:hAnsi="Calibri" w:cs="Arial"/>
          <w:szCs w:val="26"/>
        </w:rPr>
        <w:t xml:space="preserve"> – conforme</w:t>
      </w:r>
      <w:r w:rsidR="00CF7CBE" w:rsidRPr="008E5A68">
        <w:rPr>
          <w:rFonts w:ascii="Calibri" w:hAnsi="Calibri" w:cs="Arial"/>
          <w:szCs w:val="26"/>
        </w:rPr>
        <w:t xml:space="preserve"> já </w:t>
      </w:r>
      <w:r w:rsidR="004235DB" w:rsidRPr="008E5A68">
        <w:rPr>
          <w:rFonts w:ascii="Calibri" w:hAnsi="Calibri" w:cs="Arial"/>
          <w:szCs w:val="26"/>
        </w:rPr>
        <w:t>consta</w:t>
      </w:r>
      <w:r w:rsidR="00111469" w:rsidRPr="008E5A68">
        <w:rPr>
          <w:rFonts w:ascii="Calibri" w:hAnsi="Calibri" w:cs="Arial"/>
          <w:szCs w:val="26"/>
        </w:rPr>
        <w:t xml:space="preserve"> no Plano</w:t>
      </w:r>
      <w:r w:rsidR="004235DB" w:rsidRPr="008E5A68">
        <w:rPr>
          <w:rFonts w:ascii="Calibri" w:hAnsi="Calibri" w:cs="Arial"/>
          <w:szCs w:val="26"/>
        </w:rPr>
        <w:t xml:space="preserve"> Diretor (contendo </w:t>
      </w:r>
      <w:r w:rsidR="00111469" w:rsidRPr="008E5A68">
        <w:rPr>
          <w:rFonts w:ascii="Calibri" w:hAnsi="Calibri" w:cs="Arial"/>
          <w:szCs w:val="26"/>
        </w:rPr>
        <w:t>diagnósticos</w:t>
      </w:r>
      <w:r w:rsidR="004235DB" w:rsidRPr="008E5A68">
        <w:rPr>
          <w:rFonts w:ascii="Calibri" w:hAnsi="Calibri" w:cs="Arial"/>
          <w:szCs w:val="26"/>
        </w:rPr>
        <w:t>, propostas, projetos, metas, etc.);</w:t>
      </w:r>
    </w:p>
    <w:p w14:paraId="0DEBF535" w14:textId="700DB8C4" w:rsidR="007D5C84" w:rsidRPr="008E5A68" w:rsidRDefault="00111469" w:rsidP="00392874">
      <w:pPr>
        <w:shd w:val="clear" w:color="auto" w:fill="FFFFFF"/>
        <w:spacing w:after="195" w:line="360" w:lineRule="auto"/>
        <w:jc w:val="both"/>
        <w:textAlignment w:val="baseline"/>
        <w:rPr>
          <w:rFonts w:ascii="Calibri" w:hAnsi="Calibri" w:cs="Arial"/>
          <w:szCs w:val="26"/>
        </w:rPr>
      </w:pPr>
      <w:r w:rsidRPr="008E5A68">
        <w:rPr>
          <w:rFonts w:ascii="Calibri" w:hAnsi="Calibri" w:cs="Arial"/>
          <w:szCs w:val="26"/>
        </w:rPr>
        <w:t>e)</w:t>
      </w:r>
      <w:r w:rsidR="004235DB" w:rsidRPr="008E5A68">
        <w:rPr>
          <w:rFonts w:ascii="Calibri" w:hAnsi="Calibri" w:cs="Arial"/>
          <w:szCs w:val="26"/>
        </w:rPr>
        <w:t xml:space="preserve"> Fiscalização intensiva</w:t>
      </w:r>
      <w:r w:rsidR="00267102" w:rsidRPr="008E5A68">
        <w:rPr>
          <w:rFonts w:ascii="Calibri" w:hAnsi="Calibri" w:cs="Arial"/>
          <w:szCs w:val="26"/>
        </w:rPr>
        <w:t xml:space="preserve"> pelo Poder Executivo, o qual possui poder de polícia sobre o </w:t>
      </w:r>
      <w:r w:rsidR="00485850" w:rsidRPr="008E5A68">
        <w:rPr>
          <w:rFonts w:ascii="Calibri" w:hAnsi="Calibri" w:cs="Arial"/>
          <w:szCs w:val="26"/>
        </w:rPr>
        <w:t>território, para</w:t>
      </w:r>
      <w:r w:rsidR="004235DB" w:rsidRPr="008E5A68">
        <w:rPr>
          <w:rFonts w:ascii="Calibri" w:hAnsi="Calibri" w:cs="Arial"/>
          <w:szCs w:val="26"/>
        </w:rPr>
        <w:t xml:space="preserve"> coibir novas ocupações e</w:t>
      </w:r>
      <w:r w:rsidR="00267102" w:rsidRPr="008E5A68">
        <w:rPr>
          <w:rFonts w:ascii="Calibri" w:hAnsi="Calibri" w:cs="Arial"/>
          <w:szCs w:val="26"/>
        </w:rPr>
        <w:t xml:space="preserve"> </w:t>
      </w:r>
      <w:r w:rsidR="00485850" w:rsidRPr="008E5A68">
        <w:rPr>
          <w:rFonts w:ascii="Calibri" w:hAnsi="Calibri" w:cs="Arial"/>
          <w:szCs w:val="26"/>
        </w:rPr>
        <w:t>o adensamentos</w:t>
      </w:r>
      <w:r w:rsidR="004235DB" w:rsidRPr="008E5A68">
        <w:rPr>
          <w:rFonts w:ascii="Calibri" w:hAnsi="Calibri" w:cs="Arial"/>
          <w:szCs w:val="26"/>
        </w:rPr>
        <w:t xml:space="preserve"> nas áreas já existentes</w:t>
      </w:r>
      <w:r w:rsidR="00985445" w:rsidRPr="008E5A68">
        <w:rPr>
          <w:rFonts w:ascii="Calibri" w:hAnsi="Calibri" w:cs="Arial"/>
          <w:szCs w:val="26"/>
        </w:rPr>
        <w:t>, com investimento</w:t>
      </w:r>
      <w:r w:rsidR="006B7146" w:rsidRPr="008E5A68">
        <w:rPr>
          <w:rFonts w:ascii="Calibri" w:hAnsi="Calibri" w:cs="Arial"/>
          <w:szCs w:val="26"/>
        </w:rPr>
        <w:t xml:space="preserve"> em </w:t>
      </w:r>
      <w:r w:rsidR="00985445" w:rsidRPr="008E5A68">
        <w:rPr>
          <w:rFonts w:ascii="Calibri" w:hAnsi="Calibri" w:cs="Arial"/>
          <w:szCs w:val="26"/>
        </w:rPr>
        <w:t>recursos administrativos, pessoal, e</w:t>
      </w:r>
      <w:r w:rsidR="006B7146" w:rsidRPr="008E5A68">
        <w:rPr>
          <w:rFonts w:ascii="Calibri" w:hAnsi="Calibri" w:cs="Arial"/>
          <w:szCs w:val="26"/>
        </w:rPr>
        <w:t xml:space="preserve"> veículos, </w:t>
      </w:r>
      <w:r w:rsidR="00985445" w:rsidRPr="008E5A68">
        <w:rPr>
          <w:rFonts w:ascii="Calibri" w:hAnsi="Calibri" w:cs="Arial"/>
          <w:szCs w:val="26"/>
        </w:rPr>
        <w:t>por exemplo fiscais e guardas municipais para o Pelotão Ambiental;</w:t>
      </w:r>
    </w:p>
    <w:p w14:paraId="4C4E5B50" w14:textId="23EFFBDE" w:rsidR="004235DB" w:rsidRPr="008E5A68" w:rsidRDefault="003E5F69" w:rsidP="00392874">
      <w:pPr>
        <w:shd w:val="clear" w:color="auto" w:fill="FFFFFF"/>
        <w:spacing w:after="195" w:line="360" w:lineRule="auto"/>
        <w:jc w:val="both"/>
        <w:textAlignment w:val="baseline"/>
        <w:rPr>
          <w:rFonts w:ascii="Calibri" w:hAnsi="Calibri" w:cs="Arial"/>
          <w:szCs w:val="26"/>
        </w:rPr>
      </w:pPr>
      <w:r w:rsidRPr="008E5A68">
        <w:rPr>
          <w:rFonts w:ascii="Calibri" w:hAnsi="Calibri" w:cs="Arial"/>
          <w:szCs w:val="26"/>
        </w:rPr>
        <w:t xml:space="preserve">f) </w:t>
      </w:r>
      <w:r w:rsidR="004235DB" w:rsidRPr="008E5A68">
        <w:rPr>
          <w:rFonts w:ascii="Calibri" w:hAnsi="Calibri" w:cs="Arial"/>
          <w:szCs w:val="26"/>
        </w:rPr>
        <w:t xml:space="preserve">Dar publicidade sobre as áreas irregulares, ou seja, alertar população em geral através das mídias para não comprarem “lotes” em áreas irregulares, através de cartilhas educativas </w:t>
      </w:r>
      <w:r w:rsidRPr="008E5A68">
        <w:rPr>
          <w:rFonts w:ascii="Calibri" w:hAnsi="Calibri" w:cs="Arial"/>
          <w:szCs w:val="26"/>
        </w:rPr>
        <w:t xml:space="preserve">em divulgação </w:t>
      </w:r>
      <w:r w:rsidR="007104F9" w:rsidRPr="008E5A68">
        <w:rPr>
          <w:rFonts w:ascii="Calibri" w:hAnsi="Calibri" w:cs="Arial"/>
          <w:szCs w:val="26"/>
        </w:rPr>
        <w:t>nas rádios</w:t>
      </w:r>
      <w:r w:rsidRPr="008E5A68">
        <w:rPr>
          <w:rFonts w:ascii="Calibri" w:hAnsi="Calibri" w:cs="Arial"/>
          <w:szCs w:val="26"/>
        </w:rPr>
        <w:t>, principalmente a FM M</w:t>
      </w:r>
      <w:r w:rsidR="004235DB" w:rsidRPr="008E5A68">
        <w:rPr>
          <w:rFonts w:ascii="Calibri" w:hAnsi="Calibri" w:cs="Arial"/>
          <w:szCs w:val="26"/>
        </w:rPr>
        <w:t>unicipal;</w:t>
      </w:r>
    </w:p>
    <w:p w14:paraId="4D0C254D" w14:textId="002A301C" w:rsidR="004235DB" w:rsidRPr="008E5A68" w:rsidRDefault="002B18C8" w:rsidP="00392874">
      <w:pPr>
        <w:shd w:val="clear" w:color="auto" w:fill="FFFFFF"/>
        <w:spacing w:after="195" w:line="360" w:lineRule="auto"/>
        <w:jc w:val="both"/>
        <w:textAlignment w:val="baseline"/>
        <w:rPr>
          <w:rFonts w:ascii="Calibri" w:hAnsi="Calibri" w:cs="Arial"/>
          <w:szCs w:val="26"/>
        </w:rPr>
      </w:pPr>
      <w:r w:rsidRPr="008E5A68">
        <w:rPr>
          <w:rFonts w:ascii="Calibri" w:hAnsi="Calibri" w:cs="Arial"/>
          <w:szCs w:val="26"/>
        </w:rPr>
        <w:t xml:space="preserve">g) </w:t>
      </w:r>
      <w:r w:rsidR="004235DB" w:rsidRPr="008E5A68">
        <w:rPr>
          <w:rFonts w:ascii="Calibri" w:hAnsi="Calibri" w:cs="Arial"/>
          <w:szCs w:val="26"/>
        </w:rPr>
        <w:t xml:space="preserve">Responsabilidade, penalidade ao loteador/ </w:t>
      </w:r>
      <w:r w:rsidR="00671420" w:rsidRPr="008E5A68">
        <w:rPr>
          <w:rFonts w:ascii="Calibri" w:hAnsi="Calibri" w:cs="Arial"/>
          <w:szCs w:val="26"/>
        </w:rPr>
        <w:t>parcelador da infração cometida (implantação de loteamento e comercialização de lotes clandestinos)</w:t>
      </w:r>
      <w:r w:rsidR="004235DB" w:rsidRPr="008E5A68">
        <w:rPr>
          <w:rFonts w:ascii="Calibri" w:hAnsi="Calibri" w:cs="Arial"/>
          <w:szCs w:val="26"/>
        </w:rPr>
        <w:t xml:space="preserve"> de acordo com a Lei Federal n. 6766/79;</w:t>
      </w:r>
    </w:p>
    <w:p w14:paraId="65FFE13F" w14:textId="03F13F3F" w:rsidR="004235DB" w:rsidRPr="008E5A68" w:rsidRDefault="00671420" w:rsidP="00392874">
      <w:pPr>
        <w:shd w:val="clear" w:color="auto" w:fill="FFFFFF"/>
        <w:spacing w:after="195" w:line="360" w:lineRule="auto"/>
        <w:jc w:val="both"/>
        <w:textAlignment w:val="baseline"/>
        <w:rPr>
          <w:rFonts w:ascii="Calibri" w:hAnsi="Calibri" w:cs="Arial"/>
          <w:szCs w:val="26"/>
        </w:rPr>
      </w:pPr>
      <w:r w:rsidRPr="008E5A68">
        <w:rPr>
          <w:rFonts w:ascii="Calibri" w:hAnsi="Calibri" w:cs="Arial"/>
          <w:szCs w:val="26"/>
        </w:rPr>
        <w:t>h) Inserção de um programa “Disk D</w:t>
      </w:r>
      <w:r w:rsidR="004235DB" w:rsidRPr="008E5A68">
        <w:rPr>
          <w:rFonts w:ascii="Calibri" w:hAnsi="Calibri" w:cs="Arial"/>
          <w:szCs w:val="26"/>
        </w:rPr>
        <w:t>enuncia</w:t>
      </w:r>
      <w:r w:rsidRPr="008E5A68">
        <w:rPr>
          <w:rFonts w:ascii="Calibri" w:hAnsi="Calibri" w:cs="Arial"/>
          <w:szCs w:val="26"/>
        </w:rPr>
        <w:t>”</w:t>
      </w:r>
      <w:r w:rsidR="004235DB" w:rsidRPr="008E5A68">
        <w:rPr>
          <w:rFonts w:ascii="Calibri" w:hAnsi="Calibri" w:cs="Arial"/>
          <w:szCs w:val="26"/>
        </w:rPr>
        <w:t xml:space="preserve"> junto a prefeitura para receber denúncias da população</w:t>
      </w:r>
      <w:r w:rsidRPr="008E5A68">
        <w:rPr>
          <w:rFonts w:ascii="Calibri" w:hAnsi="Calibri" w:cs="Arial"/>
          <w:szCs w:val="26"/>
        </w:rPr>
        <w:t xml:space="preserve"> sobre loteamentos clandestinos</w:t>
      </w:r>
      <w:r w:rsidR="004235DB" w:rsidRPr="008E5A68">
        <w:rPr>
          <w:rFonts w:ascii="Calibri" w:hAnsi="Calibri" w:cs="Arial"/>
          <w:szCs w:val="26"/>
        </w:rPr>
        <w:t>;</w:t>
      </w:r>
    </w:p>
    <w:p w14:paraId="24712BC5" w14:textId="59189C1D" w:rsidR="004235DB" w:rsidRPr="008E5A68" w:rsidRDefault="00671420" w:rsidP="00392874">
      <w:pPr>
        <w:shd w:val="clear" w:color="auto" w:fill="FFFFFF"/>
        <w:spacing w:after="195" w:line="360" w:lineRule="auto"/>
        <w:jc w:val="both"/>
        <w:textAlignment w:val="baseline"/>
        <w:rPr>
          <w:rFonts w:ascii="Calibri" w:hAnsi="Calibri" w:cs="Arial"/>
          <w:szCs w:val="26"/>
        </w:rPr>
      </w:pPr>
      <w:r w:rsidRPr="008E5A68">
        <w:rPr>
          <w:rFonts w:ascii="Calibri" w:hAnsi="Calibri" w:cs="Arial"/>
          <w:szCs w:val="26"/>
        </w:rPr>
        <w:t xml:space="preserve">i) </w:t>
      </w:r>
      <w:r w:rsidR="004235DB" w:rsidRPr="008E5A68">
        <w:rPr>
          <w:rFonts w:ascii="Calibri" w:hAnsi="Calibri" w:cs="Arial"/>
          <w:szCs w:val="26"/>
        </w:rPr>
        <w:t>Encaminhar informações</w:t>
      </w:r>
      <w:r w:rsidRPr="008E5A68">
        <w:rPr>
          <w:rFonts w:ascii="Calibri" w:hAnsi="Calibri" w:cs="Arial"/>
          <w:szCs w:val="26"/>
        </w:rPr>
        <w:t>/ processos ao</w:t>
      </w:r>
      <w:r w:rsidR="004235DB" w:rsidRPr="008E5A68">
        <w:rPr>
          <w:rFonts w:ascii="Calibri" w:hAnsi="Calibri" w:cs="Arial"/>
          <w:szCs w:val="26"/>
        </w:rPr>
        <w:t xml:space="preserve"> Ministério Público</w:t>
      </w:r>
      <w:r w:rsidRPr="008E5A68">
        <w:rPr>
          <w:rFonts w:ascii="Calibri" w:hAnsi="Calibri" w:cs="Arial"/>
          <w:szCs w:val="26"/>
        </w:rPr>
        <w:t xml:space="preserve"> Estadual informando</w:t>
      </w:r>
      <w:r w:rsidR="004235DB" w:rsidRPr="008E5A68">
        <w:rPr>
          <w:rFonts w:ascii="Calibri" w:hAnsi="Calibri" w:cs="Arial"/>
          <w:szCs w:val="26"/>
        </w:rPr>
        <w:t xml:space="preserve"> </w:t>
      </w:r>
      <w:r w:rsidRPr="008E5A68">
        <w:rPr>
          <w:rFonts w:ascii="Calibri" w:hAnsi="Calibri" w:cs="Arial"/>
          <w:szCs w:val="26"/>
        </w:rPr>
        <w:t>sobre a</w:t>
      </w:r>
      <w:r w:rsidR="004235DB" w:rsidRPr="008E5A68">
        <w:rPr>
          <w:rFonts w:ascii="Calibri" w:hAnsi="Calibri" w:cs="Arial"/>
          <w:szCs w:val="26"/>
        </w:rPr>
        <w:t>s ocupações irregulares</w:t>
      </w:r>
      <w:r w:rsidRPr="008E5A68">
        <w:rPr>
          <w:rFonts w:ascii="Calibri" w:hAnsi="Calibri" w:cs="Arial"/>
          <w:szCs w:val="26"/>
        </w:rPr>
        <w:t xml:space="preserve">, denúncias a fim de abertura de </w:t>
      </w:r>
      <w:r w:rsidR="004235DB" w:rsidRPr="008E5A68">
        <w:rPr>
          <w:rFonts w:ascii="Calibri" w:hAnsi="Calibri" w:cs="Arial"/>
          <w:szCs w:val="26"/>
        </w:rPr>
        <w:t xml:space="preserve">ações civis </w:t>
      </w:r>
      <w:r w:rsidRPr="008E5A68">
        <w:rPr>
          <w:rFonts w:ascii="Calibri" w:hAnsi="Calibri" w:cs="Arial"/>
          <w:szCs w:val="26"/>
        </w:rPr>
        <w:t xml:space="preserve">públicas </w:t>
      </w:r>
      <w:r w:rsidR="004235DB" w:rsidRPr="008E5A68">
        <w:rPr>
          <w:rFonts w:ascii="Calibri" w:hAnsi="Calibri" w:cs="Arial"/>
          <w:szCs w:val="26"/>
        </w:rPr>
        <w:t xml:space="preserve">e outros instrumentos; </w:t>
      </w:r>
    </w:p>
    <w:p w14:paraId="2843B73B" w14:textId="77777777" w:rsidR="00A904AD" w:rsidRDefault="00A904AD" w:rsidP="00392874">
      <w:pPr>
        <w:jc w:val="both"/>
        <w:rPr>
          <w:b/>
        </w:rPr>
      </w:pPr>
    </w:p>
    <w:p w14:paraId="48D91532" w14:textId="106C79CC" w:rsidR="00A904AD" w:rsidRDefault="00F12E19" w:rsidP="00392874">
      <w:pPr>
        <w:pStyle w:val="PargrafodaLista"/>
        <w:numPr>
          <w:ilvl w:val="0"/>
          <w:numId w:val="3"/>
        </w:numPr>
        <w:jc w:val="both"/>
        <w:rPr>
          <w:b/>
        </w:rPr>
      </w:pPr>
      <w:r>
        <w:rPr>
          <w:b/>
        </w:rPr>
        <w:t>Sugestões Diversas</w:t>
      </w:r>
      <w:r w:rsidR="008E5A68">
        <w:rPr>
          <w:b/>
        </w:rPr>
        <w:t xml:space="preserve"> sobre a revisão do Plano Diretor de Desenvolvimento</w:t>
      </w:r>
      <w:r>
        <w:rPr>
          <w:b/>
        </w:rPr>
        <w:t>:</w:t>
      </w:r>
    </w:p>
    <w:p w14:paraId="090E405B" w14:textId="77777777" w:rsidR="00F12E19" w:rsidRDefault="00F12E19" w:rsidP="00392874">
      <w:pPr>
        <w:ind w:left="360"/>
        <w:jc w:val="both"/>
        <w:rPr>
          <w:b/>
        </w:rPr>
      </w:pPr>
    </w:p>
    <w:p w14:paraId="045F54FC" w14:textId="0339D811" w:rsidR="00F12E19" w:rsidRDefault="00F12E19" w:rsidP="00392874">
      <w:pPr>
        <w:pStyle w:val="PargrafodaLista"/>
        <w:numPr>
          <w:ilvl w:val="1"/>
          <w:numId w:val="8"/>
        </w:numPr>
        <w:jc w:val="both"/>
      </w:pPr>
      <w:r w:rsidRPr="00463B9C">
        <w:t>Na revisão do diagnostico analisar os zoneamentos que foram modificados</w:t>
      </w:r>
      <w:r w:rsidR="00463B9C">
        <w:t xml:space="preserve"> </w:t>
      </w:r>
      <w:r w:rsidR="00982474">
        <w:t xml:space="preserve">no decorrer deste período (2006 a 2018) </w:t>
      </w:r>
      <w:r w:rsidR="00463B9C">
        <w:t>e o plano original</w:t>
      </w:r>
      <w:r w:rsidR="00982474">
        <w:t xml:space="preserve"> (2006), avaliando</w:t>
      </w:r>
      <w:r w:rsidR="00463B9C">
        <w:t xml:space="preserve"> </w:t>
      </w:r>
      <w:r w:rsidR="00982474">
        <w:t xml:space="preserve">quais os resultados obtidos, se </w:t>
      </w:r>
      <w:r w:rsidR="00463B9C">
        <w:t>positivos, ou negativos para a cidade como: adensamento populacional, demand</w:t>
      </w:r>
      <w:r w:rsidR="00982474">
        <w:t>as por equipamentos sociais, transporte público, áreas</w:t>
      </w:r>
      <w:r w:rsidR="00463B9C">
        <w:t xml:space="preserve"> </w:t>
      </w:r>
      <w:r w:rsidR="00982474">
        <w:t>comerciais e de serviços, etc.</w:t>
      </w:r>
    </w:p>
    <w:p w14:paraId="4F09502A" w14:textId="77777777" w:rsidR="006D082D" w:rsidRDefault="006D082D" w:rsidP="00392874">
      <w:pPr>
        <w:pStyle w:val="PargrafodaLista"/>
        <w:ind w:left="1080"/>
        <w:jc w:val="both"/>
      </w:pPr>
    </w:p>
    <w:p w14:paraId="04D8D04C" w14:textId="39052CA7" w:rsidR="00800304" w:rsidRDefault="00800304" w:rsidP="00392874">
      <w:pPr>
        <w:pStyle w:val="PargrafodaLista"/>
        <w:numPr>
          <w:ilvl w:val="1"/>
          <w:numId w:val="8"/>
        </w:numPr>
        <w:jc w:val="both"/>
      </w:pPr>
      <w:r>
        <w:t>Rever os índices construtivos (CA</w:t>
      </w:r>
      <w:r w:rsidR="00982474">
        <w:t>- Coeficiente de Aproveitamento</w:t>
      </w:r>
      <w:r>
        <w:t>, TO</w:t>
      </w:r>
      <w:r w:rsidR="00982474">
        <w:t>- Taxa de Ocupação</w:t>
      </w:r>
      <w:r>
        <w:t>, recuos), pois no plano diretor vigente são os mesmos, tanto para glebas como para lotes, o que em nosso ver, devem ser diferenciados, considerando ventilação, insolação e outros requisitos.</w:t>
      </w:r>
    </w:p>
    <w:p w14:paraId="006687A5" w14:textId="77777777" w:rsidR="00982474" w:rsidRDefault="00982474" w:rsidP="00392874">
      <w:pPr>
        <w:pStyle w:val="PargrafodaLista"/>
        <w:jc w:val="both"/>
      </w:pPr>
    </w:p>
    <w:p w14:paraId="168ED3F8" w14:textId="77777777" w:rsidR="00982474" w:rsidRDefault="00982474" w:rsidP="00392874">
      <w:pPr>
        <w:pStyle w:val="PargrafodaLista"/>
        <w:ind w:left="1080"/>
        <w:jc w:val="both"/>
      </w:pPr>
    </w:p>
    <w:p w14:paraId="680B3F9E" w14:textId="77777777" w:rsidR="00463B9C" w:rsidRDefault="00463B9C" w:rsidP="00392874">
      <w:pPr>
        <w:ind w:left="360"/>
        <w:jc w:val="both"/>
      </w:pPr>
    </w:p>
    <w:sectPr w:rsidR="00463B9C" w:rsidSect="00A02AF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A778" w14:textId="77777777" w:rsidR="00185189" w:rsidRDefault="00185189" w:rsidP="00FE0381">
      <w:r>
        <w:separator/>
      </w:r>
    </w:p>
  </w:endnote>
  <w:endnote w:type="continuationSeparator" w:id="0">
    <w:p w14:paraId="7182FE65" w14:textId="77777777" w:rsidR="00185189" w:rsidRDefault="00185189" w:rsidP="00FE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C79A4" w14:textId="77777777" w:rsidR="00185189" w:rsidRDefault="00185189" w:rsidP="00FE0381">
      <w:r>
        <w:separator/>
      </w:r>
    </w:p>
  </w:footnote>
  <w:footnote w:type="continuationSeparator" w:id="0">
    <w:p w14:paraId="6FE0AFA0" w14:textId="77777777" w:rsidR="00185189" w:rsidRDefault="00185189" w:rsidP="00FE0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2180"/>
    <w:multiLevelType w:val="hybridMultilevel"/>
    <w:tmpl w:val="73D41218"/>
    <w:lvl w:ilvl="0" w:tplc="5A60ACF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A2A01A2"/>
    <w:multiLevelType w:val="hybridMultilevel"/>
    <w:tmpl w:val="8F5AEDC2"/>
    <w:lvl w:ilvl="0" w:tplc="B824AE74">
      <w:start w:val="1"/>
      <w:numFmt w:val="lowerLetter"/>
      <w:lvlText w:val="%1)"/>
      <w:lvlJc w:val="left"/>
      <w:pPr>
        <w:ind w:left="720" w:hanging="360"/>
      </w:pPr>
      <w:rPr>
        <w:rFonts w:ascii="Arial" w:eastAsiaTheme="minorHAnsi"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9108BD"/>
    <w:multiLevelType w:val="multilevel"/>
    <w:tmpl w:val="83CEFCC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B400CD"/>
    <w:multiLevelType w:val="multilevel"/>
    <w:tmpl w:val="CA5E2E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9297BC0"/>
    <w:multiLevelType w:val="hybridMultilevel"/>
    <w:tmpl w:val="CEA2B622"/>
    <w:lvl w:ilvl="0" w:tplc="EFFACC14">
      <w:start w:val="1"/>
      <w:numFmt w:val="bullet"/>
      <w:lvlText w:val=""/>
      <w:lvlJc w:val="left"/>
      <w:pPr>
        <w:ind w:left="720" w:hanging="360"/>
      </w:pPr>
      <w:rPr>
        <w:rFonts w:ascii="Symbol" w:eastAsiaTheme="minorHAnsi" w:hAnsi="Symbol" w:cstheme="minorBid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CE47D27"/>
    <w:multiLevelType w:val="hybridMultilevel"/>
    <w:tmpl w:val="BA26B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3912C14"/>
    <w:multiLevelType w:val="hybridMultilevel"/>
    <w:tmpl w:val="693238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92905F2"/>
    <w:multiLevelType w:val="hybridMultilevel"/>
    <w:tmpl w:val="B7D048B0"/>
    <w:lvl w:ilvl="0" w:tplc="7FE4D4BA">
      <w:start w:val="1"/>
      <w:numFmt w:val="decimal"/>
      <w:pStyle w:val="Lista1"/>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22D01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6E396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ABC5E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8254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D0167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36C5C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523AD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06DB72">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CF46EBB"/>
    <w:multiLevelType w:val="hybridMultilevel"/>
    <w:tmpl w:val="C1CC22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7"/>
  </w:num>
  <w:num w:numId="3">
    <w:abstractNumId w:val="2"/>
  </w:num>
  <w:num w:numId="4">
    <w:abstractNumId w:val="8"/>
  </w:num>
  <w:num w:numId="5">
    <w:abstractNumId w:val="4"/>
  </w:num>
  <w:num w:numId="6">
    <w:abstractNumId w:val="6"/>
  </w:num>
  <w:num w:numId="7">
    <w:abstractNumId w:val="5"/>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4"/>
    <w:rsid w:val="000018B3"/>
    <w:rsid w:val="0001443D"/>
    <w:rsid w:val="00036E5F"/>
    <w:rsid w:val="00045E7E"/>
    <w:rsid w:val="00052385"/>
    <w:rsid w:val="00081647"/>
    <w:rsid w:val="00084C0F"/>
    <w:rsid w:val="000939AA"/>
    <w:rsid w:val="000A01A2"/>
    <w:rsid w:val="000B43F3"/>
    <w:rsid w:val="00111469"/>
    <w:rsid w:val="00112635"/>
    <w:rsid w:val="00141D80"/>
    <w:rsid w:val="00165C64"/>
    <w:rsid w:val="00185189"/>
    <w:rsid w:val="001B5A74"/>
    <w:rsid w:val="001D71BA"/>
    <w:rsid w:val="001F5050"/>
    <w:rsid w:val="00214407"/>
    <w:rsid w:val="0023134D"/>
    <w:rsid w:val="002360C8"/>
    <w:rsid w:val="00237642"/>
    <w:rsid w:val="00247106"/>
    <w:rsid w:val="00263885"/>
    <w:rsid w:val="00266E7B"/>
    <w:rsid w:val="00267102"/>
    <w:rsid w:val="002726CE"/>
    <w:rsid w:val="00292605"/>
    <w:rsid w:val="002B18C8"/>
    <w:rsid w:val="002C3FF6"/>
    <w:rsid w:val="002C4301"/>
    <w:rsid w:val="00316F0D"/>
    <w:rsid w:val="00322ED7"/>
    <w:rsid w:val="00342774"/>
    <w:rsid w:val="003523CF"/>
    <w:rsid w:val="00365A73"/>
    <w:rsid w:val="00392874"/>
    <w:rsid w:val="003E5F69"/>
    <w:rsid w:val="00403741"/>
    <w:rsid w:val="00406353"/>
    <w:rsid w:val="004235DB"/>
    <w:rsid w:val="0043165E"/>
    <w:rsid w:val="00432C0C"/>
    <w:rsid w:val="00436D18"/>
    <w:rsid w:val="00442958"/>
    <w:rsid w:val="00444CCA"/>
    <w:rsid w:val="00463B9C"/>
    <w:rsid w:val="00485850"/>
    <w:rsid w:val="0049665F"/>
    <w:rsid w:val="004A1F65"/>
    <w:rsid w:val="004B1CE0"/>
    <w:rsid w:val="004C6BB6"/>
    <w:rsid w:val="004D2E51"/>
    <w:rsid w:val="004D4FDF"/>
    <w:rsid w:val="004E26FE"/>
    <w:rsid w:val="00502E9B"/>
    <w:rsid w:val="005045E2"/>
    <w:rsid w:val="00544FB1"/>
    <w:rsid w:val="00545E0A"/>
    <w:rsid w:val="00563DC7"/>
    <w:rsid w:val="00570DEE"/>
    <w:rsid w:val="00575911"/>
    <w:rsid w:val="00587547"/>
    <w:rsid w:val="005C7186"/>
    <w:rsid w:val="006422DE"/>
    <w:rsid w:val="00651385"/>
    <w:rsid w:val="006521A6"/>
    <w:rsid w:val="0065328C"/>
    <w:rsid w:val="00654398"/>
    <w:rsid w:val="00671420"/>
    <w:rsid w:val="006A331A"/>
    <w:rsid w:val="006B3196"/>
    <w:rsid w:val="006B7146"/>
    <w:rsid w:val="006C5452"/>
    <w:rsid w:val="006D082D"/>
    <w:rsid w:val="006D4BFD"/>
    <w:rsid w:val="006F13DF"/>
    <w:rsid w:val="006F4603"/>
    <w:rsid w:val="007104F9"/>
    <w:rsid w:val="00722E16"/>
    <w:rsid w:val="00722EEF"/>
    <w:rsid w:val="007348ED"/>
    <w:rsid w:val="007D5C84"/>
    <w:rsid w:val="007F4DEA"/>
    <w:rsid w:val="00800304"/>
    <w:rsid w:val="008314F7"/>
    <w:rsid w:val="00841151"/>
    <w:rsid w:val="008A7B76"/>
    <w:rsid w:val="008C7B9D"/>
    <w:rsid w:val="008D6782"/>
    <w:rsid w:val="008E5A68"/>
    <w:rsid w:val="009037D1"/>
    <w:rsid w:val="00944BF2"/>
    <w:rsid w:val="0096398B"/>
    <w:rsid w:val="00963F74"/>
    <w:rsid w:val="00982474"/>
    <w:rsid w:val="00985445"/>
    <w:rsid w:val="009A1694"/>
    <w:rsid w:val="009A6E47"/>
    <w:rsid w:val="009B2824"/>
    <w:rsid w:val="009D2DF2"/>
    <w:rsid w:val="009E3A96"/>
    <w:rsid w:val="00A02AF4"/>
    <w:rsid w:val="00A15FC0"/>
    <w:rsid w:val="00A241BC"/>
    <w:rsid w:val="00A253E3"/>
    <w:rsid w:val="00A55E17"/>
    <w:rsid w:val="00A904AD"/>
    <w:rsid w:val="00A97B05"/>
    <w:rsid w:val="00AD5205"/>
    <w:rsid w:val="00AE2B0E"/>
    <w:rsid w:val="00B325D3"/>
    <w:rsid w:val="00B610A4"/>
    <w:rsid w:val="00B63937"/>
    <w:rsid w:val="00BA6F49"/>
    <w:rsid w:val="00BB0658"/>
    <w:rsid w:val="00BB44BF"/>
    <w:rsid w:val="00BD72CB"/>
    <w:rsid w:val="00BF2C78"/>
    <w:rsid w:val="00C23812"/>
    <w:rsid w:val="00C32A47"/>
    <w:rsid w:val="00C456EC"/>
    <w:rsid w:val="00C6790F"/>
    <w:rsid w:val="00C70C8F"/>
    <w:rsid w:val="00C935FF"/>
    <w:rsid w:val="00CD56B0"/>
    <w:rsid w:val="00CE5C42"/>
    <w:rsid w:val="00CF7555"/>
    <w:rsid w:val="00CF7CBE"/>
    <w:rsid w:val="00D00624"/>
    <w:rsid w:val="00D1658E"/>
    <w:rsid w:val="00D34A02"/>
    <w:rsid w:val="00D562BC"/>
    <w:rsid w:val="00D640E3"/>
    <w:rsid w:val="00D75BCC"/>
    <w:rsid w:val="00DB4CA9"/>
    <w:rsid w:val="00E123A4"/>
    <w:rsid w:val="00E1615C"/>
    <w:rsid w:val="00E27667"/>
    <w:rsid w:val="00E36581"/>
    <w:rsid w:val="00E555A9"/>
    <w:rsid w:val="00E5785F"/>
    <w:rsid w:val="00E84CA7"/>
    <w:rsid w:val="00E90D9E"/>
    <w:rsid w:val="00ED7F9E"/>
    <w:rsid w:val="00F12E19"/>
    <w:rsid w:val="00F3377A"/>
    <w:rsid w:val="00F357A2"/>
    <w:rsid w:val="00F43416"/>
    <w:rsid w:val="00F6521F"/>
    <w:rsid w:val="00FA230C"/>
    <w:rsid w:val="00FD32D9"/>
    <w:rsid w:val="00FE03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939ED4"/>
  <w15:chartTrackingRefBased/>
  <w15:docId w15:val="{BF34AC7A-E31D-0640-9B10-B497FC5B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texto">
    <w:name w:val="Corpo texto"/>
    <w:basedOn w:val="Normal"/>
    <w:qFormat/>
    <w:rsid w:val="006B3196"/>
    <w:pPr>
      <w:pBdr>
        <w:top w:val="nil"/>
        <w:left w:val="nil"/>
        <w:bottom w:val="nil"/>
        <w:right w:val="nil"/>
        <w:between w:val="nil"/>
        <w:bar w:val="nil"/>
      </w:pBdr>
      <w:spacing w:after="200" w:line="360" w:lineRule="auto"/>
      <w:jc w:val="both"/>
    </w:pPr>
    <w:rPr>
      <w:rFonts w:ascii="Times New Roman" w:eastAsia="Calibri" w:hAnsi="Times New Roman" w:cs="Calibri"/>
      <w:color w:val="000000"/>
      <w:u w:color="000000"/>
      <w:bdr w:val="nil"/>
      <w:lang w:eastAsia="pt-BR"/>
    </w:rPr>
  </w:style>
  <w:style w:type="paragraph" w:customStyle="1" w:styleId="Lista1">
    <w:name w:val="Lista1"/>
    <w:basedOn w:val="PargrafodaLista"/>
    <w:qFormat/>
    <w:rsid w:val="00C70C8F"/>
    <w:pPr>
      <w:numPr>
        <w:numId w:val="2"/>
      </w:numPr>
      <w:contextualSpacing w:val="0"/>
      <w:jc w:val="both"/>
    </w:pPr>
    <w:rPr>
      <w:rFonts w:ascii="Times New Roman" w:eastAsia="Arial Unicode MS" w:hAnsi="Times New Roman" w:cs="Arial Unicode MS"/>
      <w:iCs/>
      <w:color w:val="000000"/>
      <w:u w:color="000000"/>
      <w:bdr w:val="nil"/>
      <w:lang w:eastAsia="pt-BR"/>
    </w:rPr>
  </w:style>
  <w:style w:type="paragraph" w:styleId="PargrafodaLista">
    <w:name w:val="List Paragraph"/>
    <w:basedOn w:val="Normal"/>
    <w:uiPriority w:val="34"/>
    <w:qFormat/>
    <w:rsid w:val="00C70C8F"/>
    <w:pPr>
      <w:ind w:left="720"/>
      <w:contextualSpacing/>
    </w:pPr>
  </w:style>
  <w:style w:type="paragraph" w:customStyle="1" w:styleId="NotaRodap">
    <w:name w:val="Nota Rodapé"/>
    <w:basedOn w:val="Textodenotaderodap"/>
    <w:qFormat/>
    <w:rsid w:val="00C70C8F"/>
    <w:pPr>
      <w:pBdr>
        <w:top w:val="nil"/>
        <w:left w:val="nil"/>
        <w:bottom w:val="nil"/>
        <w:right w:val="nil"/>
        <w:between w:val="nil"/>
        <w:bar w:val="nil"/>
      </w:pBdr>
    </w:pPr>
    <w:rPr>
      <w:rFonts w:ascii="Times New Roman" w:eastAsia="Calibri" w:hAnsi="Times New Roman" w:cs="Calibri"/>
      <w:color w:val="000000"/>
      <w:u w:color="000000"/>
      <w:bdr w:val="nil"/>
      <w:lang w:val="pt-PT" w:eastAsia="pt-BR"/>
    </w:rPr>
  </w:style>
  <w:style w:type="paragraph" w:styleId="Textodenotaderodap">
    <w:name w:val="footnote text"/>
    <w:basedOn w:val="Normal"/>
    <w:link w:val="TextodenotaderodapChar"/>
    <w:uiPriority w:val="99"/>
    <w:semiHidden/>
    <w:unhideWhenUsed/>
    <w:rsid w:val="00C70C8F"/>
    <w:rPr>
      <w:sz w:val="20"/>
      <w:szCs w:val="20"/>
    </w:rPr>
  </w:style>
  <w:style w:type="character" w:customStyle="1" w:styleId="TextodenotaderodapChar">
    <w:name w:val="Texto de nota de rodapé Char"/>
    <w:basedOn w:val="Fontepargpadro"/>
    <w:link w:val="Textodenotaderodap"/>
    <w:uiPriority w:val="99"/>
    <w:semiHidden/>
    <w:rsid w:val="00C70C8F"/>
    <w:rPr>
      <w:sz w:val="20"/>
      <w:szCs w:val="20"/>
    </w:rPr>
  </w:style>
  <w:style w:type="paragraph" w:customStyle="1" w:styleId="abcpcorpo">
    <w:name w:val="abcp corpo"/>
    <w:basedOn w:val="Normal"/>
    <w:qFormat/>
    <w:rsid w:val="001F5050"/>
    <w:pPr>
      <w:spacing w:line="360" w:lineRule="auto"/>
      <w:ind w:left="1134"/>
      <w:contextualSpacing/>
      <w:jc w:val="both"/>
    </w:pPr>
    <w:rPr>
      <w:rFonts w:ascii="Arial" w:hAnsi="Arial" w:cs="Arial"/>
      <w:sz w:val="22"/>
      <w:szCs w:val="22"/>
    </w:rPr>
  </w:style>
  <w:style w:type="paragraph" w:styleId="Cabealho">
    <w:name w:val="header"/>
    <w:basedOn w:val="Normal"/>
    <w:link w:val="CabealhoChar"/>
    <w:uiPriority w:val="99"/>
    <w:unhideWhenUsed/>
    <w:rsid w:val="00FE0381"/>
    <w:pPr>
      <w:tabs>
        <w:tab w:val="center" w:pos="4252"/>
        <w:tab w:val="right" w:pos="8504"/>
      </w:tabs>
    </w:pPr>
  </w:style>
  <w:style w:type="character" w:customStyle="1" w:styleId="CabealhoChar">
    <w:name w:val="Cabeçalho Char"/>
    <w:basedOn w:val="Fontepargpadro"/>
    <w:link w:val="Cabealho"/>
    <w:uiPriority w:val="99"/>
    <w:rsid w:val="00FE0381"/>
  </w:style>
  <w:style w:type="paragraph" w:styleId="Rodap">
    <w:name w:val="footer"/>
    <w:basedOn w:val="Normal"/>
    <w:link w:val="RodapChar"/>
    <w:uiPriority w:val="99"/>
    <w:unhideWhenUsed/>
    <w:rsid w:val="00FE0381"/>
    <w:pPr>
      <w:tabs>
        <w:tab w:val="center" w:pos="4252"/>
        <w:tab w:val="right" w:pos="8504"/>
      </w:tabs>
    </w:pPr>
  </w:style>
  <w:style w:type="character" w:customStyle="1" w:styleId="RodapChar">
    <w:name w:val="Rodapé Char"/>
    <w:basedOn w:val="Fontepargpadro"/>
    <w:link w:val="Rodap"/>
    <w:uiPriority w:val="99"/>
    <w:rsid w:val="00FE0381"/>
  </w:style>
  <w:style w:type="character" w:styleId="Hyperlink">
    <w:name w:val="Hyperlink"/>
    <w:basedOn w:val="Fontepargpadro"/>
    <w:uiPriority w:val="99"/>
    <w:unhideWhenUsed/>
    <w:rsid w:val="000A01A2"/>
    <w:rPr>
      <w:color w:val="0563C1" w:themeColor="hyperlink"/>
      <w:u w:val="single"/>
    </w:rPr>
  </w:style>
  <w:style w:type="character" w:customStyle="1" w:styleId="UnresolvedMention">
    <w:name w:val="Unresolved Mention"/>
    <w:basedOn w:val="Fontepargpadro"/>
    <w:uiPriority w:val="99"/>
    <w:semiHidden/>
    <w:unhideWhenUsed/>
    <w:rsid w:val="000A01A2"/>
    <w:rPr>
      <w:color w:val="605E5C"/>
      <w:shd w:val="clear" w:color="auto" w:fill="E1DFDD"/>
    </w:rPr>
  </w:style>
  <w:style w:type="character" w:styleId="Refdecomentrio">
    <w:name w:val="annotation reference"/>
    <w:basedOn w:val="Fontepargpadro"/>
    <w:uiPriority w:val="99"/>
    <w:semiHidden/>
    <w:unhideWhenUsed/>
    <w:rsid w:val="00052385"/>
    <w:rPr>
      <w:sz w:val="16"/>
      <w:szCs w:val="16"/>
    </w:rPr>
  </w:style>
  <w:style w:type="paragraph" w:styleId="Textodecomentrio">
    <w:name w:val="annotation text"/>
    <w:basedOn w:val="Normal"/>
    <w:link w:val="TextodecomentrioChar"/>
    <w:uiPriority w:val="99"/>
    <w:semiHidden/>
    <w:unhideWhenUsed/>
    <w:rsid w:val="00052385"/>
    <w:rPr>
      <w:sz w:val="20"/>
      <w:szCs w:val="20"/>
    </w:rPr>
  </w:style>
  <w:style w:type="character" w:customStyle="1" w:styleId="TextodecomentrioChar">
    <w:name w:val="Texto de comentário Char"/>
    <w:basedOn w:val="Fontepargpadro"/>
    <w:link w:val="Textodecomentrio"/>
    <w:uiPriority w:val="99"/>
    <w:semiHidden/>
    <w:rsid w:val="00052385"/>
    <w:rPr>
      <w:sz w:val="20"/>
      <w:szCs w:val="20"/>
    </w:rPr>
  </w:style>
  <w:style w:type="paragraph" w:styleId="Assuntodocomentrio">
    <w:name w:val="annotation subject"/>
    <w:basedOn w:val="Textodecomentrio"/>
    <w:next w:val="Textodecomentrio"/>
    <w:link w:val="AssuntodocomentrioChar"/>
    <w:uiPriority w:val="99"/>
    <w:semiHidden/>
    <w:unhideWhenUsed/>
    <w:rsid w:val="00052385"/>
    <w:rPr>
      <w:b/>
      <w:bCs/>
    </w:rPr>
  </w:style>
  <w:style w:type="character" w:customStyle="1" w:styleId="AssuntodocomentrioChar">
    <w:name w:val="Assunto do comentário Char"/>
    <w:basedOn w:val="TextodecomentrioChar"/>
    <w:link w:val="Assuntodocomentrio"/>
    <w:uiPriority w:val="99"/>
    <w:semiHidden/>
    <w:rsid w:val="00052385"/>
    <w:rPr>
      <w:b/>
      <w:bCs/>
      <w:sz w:val="20"/>
      <w:szCs w:val="20"/>
    </w:rPr>
  </w:style>
  <w:style w:type="paragraph" w:styleId="Textodebalo">
    <w:name w:val="Balloon Text"/>
    <w:basedOn w:val="Normal"/>
    <w:link w:val="TextodebaloChar"/>
    <w:uiPriority w:val="99"/>
    <w:semiHidden/>
    <w:unhideWhenUsed/>
    <w:rsid w:val="00052385"/>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0523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ve.camarapiracicaba.sp.gov.br/arquivo?id=225247" TargetMode="External"/><Relationship Id="rId3" Type="http://schemas.openxmlformats.org/officeDocument/2006/relationships/settings" Target="settings.xml"/><Relationship Id="rId7" Type="http://schemas.openxmlformats.org/officeDocument/2006/relationships/hyperlink" Target="https://www.cidades.gov.br/images/stories/ArquivosConselho/ArquivosPDF/Orientaes_para_a_criao_dos_Conselhos_da_Cidade_nos_municpi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1819</Words>
  <Characters>9827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Grisotto Vello</dc:creator>
  <cp:keywords/>
  <dc:description/>
  <cp:lastModifiedBy>Silvia Maria Morales</cp:lastModifiedBy>
  <cp:revision>61</cp:revision>
  <dcterms:created xsi:type="dcterms:W3CDTF">2018-07-10T12:55:00Z</dcterms:created>
  <dcterms:modified xsi:type="dcterms:W3CDTF">2018-07-12T14:44:00Z</dcterms:modified>
</cp:coreProperties>
</file>